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widowControl w:val="0"/>
        <w:overflowPunct w:val="0"/>
        <w:spacing w:before="0" w:after="0" w:line="576" w:lineRule="exact"/>
        <w:jc w:val="both"/>
        <w:rPr>
          <w:rFonts w:ascii="黑体" w:hAnsi="黑体" w:eastAsia="黑体"/>
          <w:sz w:val="32"/>
          <w:szCs w:val="32"/>
        </w:rPr>
      </w:pPr>
      <w:bookmarkStart w:id="0" w:name="标题"/>
      <w:r>
        <w:rPr>
          <w:rFonts w:hint="eastAsia" w:ascii="黑体" w:hAnsi="黑体" w:eastAsia="黑体"/>
          <w:sz w:val="32"/>
          <w:szCs w:val="32"/>
        </w:rPr>
        <w:t>附件</w:t>
      </w:r>
      <w:r>
        <w:rPr>
          <w:rFonts w:ascii="黑体" w:hAnsi="黑体" w:eastAsia="黑体"/>
          <w:sz w:val="32"/>
          <w:szCs w:val="32"/>
        </w:rPr>
        <w:t>5</w:t>
      </w:r>
    </w:p>
    <w:p>
      <w:pPr>
        <w:pStyle w:val="20"/>
        <w:widowControl w:val="0"/>
        <w:overflowPunct w:val="0"/>
        <w:spacing w:before="0" w:after="0"/>
        <w:jc w:val="center"/>
        <w:rPr>
          <w:rFonts w:ascii="Times New Roman" w:hAnsi="仿宋" w:eastAsia="仿宋"/>
          <w:sz w:val="36"/>
          <w:szCs w:val="32"/>
        </w:rPr>
      </w:pPr>
      <w:r>
        <w:rPr>
          <w:rFonts w:hint="eastAsia" w:ascii="Times New Roman" w:hAnsi="Times New Roman" w:eastAsia="方正小标宋简体"/>
          <w:color w:val="000000"/>
          <w:spacing w:val="-6"/>
          <w:sz w:val="40"/>
          <w:szCs w:val="36"/>
        </w:rPr>
        <w:t>国家开放大学广东分部体系分校</w:t>
      </w:r>
      <w:r>
        <w:rPr>
          <w:rFonts w:ascii="Times New Roman" w:hAnsi="Times New Roman" w:eastAsia="方正小标宋简体"/>
          <w:color w:val="000000"/>
          <w:spacing w:val="-6"/>
          <w:sz w:val="40"/>
          <w:szCs w:val="36"/>
        </w:rPr>
        <w:t>办学评估指标</w:t>
      </w:r>
      <w:r>
        <w:rPr>
          <w:rFonts w:hint="eastAsia" w:ascii="Times New Roman" w:hAnsi="Times New Roman" w:eastAsia="方正小标宋简体"/>
          <w:color w:val="000000"/>
          <w:spacing w:val="-6"/>
          <w:sz w:val="40"/>
          <w:szCs w:val="36"/>
        </w:rPr>
        <w:t>体系分解表（市、县开放大学用）</w:t>
      </w:r>
    </w:p>
    <w:tbl>
      <w:tblPr>
        <w:tblStyle w:val="23"/>
        <w:tblW w:w="13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85" w:type="dxa"/>
          <w:bottom w:w="0" w:type="dxa"/>
          <w:right w:w="85" w:type="dxa"/>
        </w:tblCellMar>
      </w:tblPr>
      <w:tblGrid>
        <w:gridCol w:w="731"/>
        <w:gridCol w:w="1558"/>
        <w:gridCol w:w="2951"/>
        <w:gridCol w:w="3544"/>
        <w:gridCol w:w="2410"/>
        <w:gridCol w:w="1134"/>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tblHeader/>
          <w:jc w:val="center"/>
        </w:trPr>
        <w:tc>
          <w:tcPr>
            <w:tcW w:w="0" w:type="auto"/>
            <w:vAlign w:val="center"/>
          </w:tcPr>
          <w:p>
            <w:pPr>
              <w:jc w:val="center"/>
              <w:rPr>
                <w:rFonts w:ascii="黑体" w:hAnsi="黑体" w:eastAsia="黑体"/>
                <w:bCs/>
                <w:sz w:val="20"/>
                <w:szCs w:val="20"/>
              </w:rPr>
            </w:pPr>
            <w:r>
              <w:rPr>
                <w:rFonts w:ascii="黑体" w:hAnsi="黑体" w:eastAsia="黑体"/>
                <w:bCs/>
                <w:sz w:val="20"/>
                <w:szCs w:val="20"/>
              </w:rPr>
              <w:t>一级</w:t>
            </w:r>
          </w:p>
          <w:p>
            <w:pPr>
              <w:jc w:val="center"/>
              <w:rPr>
                <w:rFonts w:ascii="黑体" w:hAnsi="黑体" w:eastAsia="黑体"/>
                <w:bCs/>
                <w:sz w:val="20"/>
                <w:szCs w:val="20"/>
              </w:rPr>
            </w:pPr>
            <w:r>
              <w:rPr>
                <w:rFonts w:ascii="黑体" w:hAnsi="黑体" w:eastAsia="黑体"/>
                <w:bCs/>
                <w:sz w:val="20"/>
                <w:szCs w:val="20"/>
              </w:rPr>
              <w:t>指标</w:t>
            </w:r>
          </w:p>
        </w:tc>
        <w:tc>
          <w:tcPr>
            <w:tcW w:w="0" w:type="auto"/>
            <w:vAlign w:val="center"/>
          </w:tcPr>
          <w:p>
            <w:pPr>
              <w:jc w:val="center"/>
              <w:rPr>
                <w:rFonts w:ascii="黑体" w:hAnsi="黑体" w:eastAsia="黑体"/>
                <w:bCs/>
                <w:sz w:val="20"/>
                <w:szCs w:val="20"/>
              </w:rPr>
            </w:pPr>
            <w:r>
              <w:rPr>
                <w:rFonts w:ascii="黑体" w:hAnsi="黑体" w:eastAsia="黑体"/>
                <w:bCs/>
                <w:sz w:val="20"/>
                <w:szCs w:val="20"/>
              </w:rPr>
              <w:t>二级指标</w:t>
            </w:r>
          </w:p>
        </w:tc>
        <w:tc>
          <w:tcPr>
            <w:tcW w:w="2951" w:type="dxa"/>
            <w:vAlign w:val="center"/>
          </w:tcPr>
          <w:p>
            <w:pPr>
              <w:jc w:val="center"/>
              <w:rPr>
                <w:rFonts w:ascii="黑体" w:hAnsi="黑体" w:eastAsia="黑体"/>
                <w:bCs/>
                <w:sz w:val="20"/>
                <w:szCs w:val="20"/>
              </w:rPr>
            </w:pPr>
            <w:r>
              <w:rPr>
                <w:rFonts w:ascii="黑体" w:hAnsi="黑体" w:eastAsia="黑体"/>
                <w:bCs/>
                <w:sz w:val="20"/>
                <w:szCs w:val="20"/>
              </w:rPr>
              <w:t>三级指标</w:t>
            </w:r>
          </w:p>
        </w:tc>
        <w:tc>
          <w:tcPr>
            <w:tcW w:w="3544" w:type="dxa"/>
            <w:vAlign w:val="center"/>
          </w:tcPr>
          <w:p>
            <w:pPr>
              <w:jc w:val="center"/>
              <w:rPr>
                <w:rFonts w:ascii="黑体" w:hAnsi="黑体" w:eastAsia="黑体"/>
                <w:bCs/>
                <w:color w:val="000000"/>
                <w:sz w:val="20"/>
                <w:szCs w:val="20"/>
              </w:rPr>
            </w:pPr>
            <w:r>
              <w:rPr>
                <w:rFonts w:ascii="黑体" w:hAnsi="黑体" w:eastAsia="黑体"/>
                <w:bCs/>
                <w:color w:val="000000"/>
                <w:sz w:val="20"/>
                <w:szCs w:val="20"/>
              </w:rPr>
              <w:t>观测点</w:t>
            </w:r>
          </w:p>
        </w:tc>
        <w:tc>
          <w:tcPr>
            <w:tcW w:w="2410" w:type="dxa"/>
            <w:vAlign w:val="center"/>
          </w:tcPr>
          <w:p>
            <w:pPr>
              <w:jc w:val="center"/>
              <w:rPr>
                <w:rFonts w:ascii="黑体" w:hAnsi="黑体" w:eastAsia="黑体"/>
                <w:bCs/>
                <w:sz w:val="20"/>
                <w:szCs w:val="20"/>
              </w:rPr>
            </w:pPr>
            <w:r>
              <w:rPr>
                <w:rFonts w:ascii="黑体" w:hAnsi="黑体" w:eastAsia="黑体"/>
                <w:bCs/>
                <w:sz w:val="20"/>
                <w:szCs w:val="20"/>
              </w:rPr>
              <w:t>备</w:t>
            </w:r>
            <w:r>
              <w:rPr>
                <w:rFonts w:hint="eastAsia" w:ascii="黑体" w:hAnsi="黑体" w:eastAsia="黑体"/>
                <w:bCs/>
                <w:sz w:val="20"/>
                <w:szCs w:val="20"/>
              </w:rPr>
              <w:t xml:space="preserve"> </w:t>
            </w:r>
            <w:r>
              <w:rPr>
                <w:rFonts w:ascii="黑体" w:hAnsi="黑体" w:eastAsia="黑体"/>
                <w:bCs/>
                <w:sz w:val="20"/>
                <w:szCs w:val="20"/>
              </w:rPr>
              <w:t xml:space="preserve"> 注</w:t>
            </w:r>
          </w:p>
        </w:tc>
        <w:tc>
          <w:tcPr>
            <w:tcW w:w="1134" w:type="dxa"/>
          </w:tcPr>
          <w:p>
            <w:pPr>
              <w:jc w:val="center"/>
              <w:rPr>
                <w:rFonts w:hint="eastAsia" w:ascii="黑体" w:hAnsi="黑体" w:eastAsia="黑体"/>
                <w:bCs/>
                <w:sz w:val="20"/>
                <w:szCs w:val="20"/>
                <w:lang w:eastAsia="zh-CN"/>
              </w:rPr>
            </w:pPr>
            <w:r>
              <w:rPr>
                <w:rFonts w:hint="eastAsia" w:ascii="黑体" w:hAnsi="黑体" w:eastAsia="黑体"/>
                <w:bCs/>
                <w:sz w:val="20"/>
                <w:szCs w:val="20"/>
              </w:rPr>
              <w:t>评估</w:t>
            </w:r>
            <w:r>
              <w:rPr>
                <w:rFonts w:hint="eastAsia" w:ascii="黑体" w:hAnsi="黑体" w:eastAsia="黑体"/>
                <w:bCs/>
                <w:sz w:val="20"/>
                <w:szCs w:val="20"/>
                <w:lang w:val="en-US" w:eastAsia="zh-CN"/>
              </w:rPr>
              <w:t>办</w:t>
            </w:r>
            <w:r>
              <w:rPr>
                <w:rFonts w:hint="eastAsia" w:ascii="黑体" w:hAnsi="黑体" w:eastAsia="黑体"/>
                <w:bCs/>
                <w:sz w:val="20"/>
                <w:szCs w:val="20"/>
              </w:rPr>
              <w:t>对接</w:t>
            </w:r>
            <w:r>
              <w:rPr>
                <w:rFonts w:hint="eastAsia" w:ascii="黑体" w:hAnsi="黑体" w:eastAsia="黑体"/>
                <w:bCs/>
                <w:sz w:val="20"/>
                <w:szCs w:val="20"/>
                <w:lang w:val="en-US" w:eastAsia="zh-CN"/>
              </w:rPr>
              <w:t>部门</w:t>
            </w:r>
          </w:p>
        </w:tc>
        <w:tc>
          <w:tcPr>
            <w:tcW w:w="850" w:type="dxa"/>
            <w:vAlign w:val="center"/>
          </w:tcPr>
          <w:p>
            <w:pPr>
              <w:ind w:firstLine="200" w:firstLineChars="100"/>
              <w:rPr>
                <w:rFonts w:ascii="黑体" w:hAnsi="黑体" w:eastAsia="黑体"/>
                <w:bCs/>
                <w:sz w:val="20"/>
                <w:szCs w:val="20"/>
              </w:rPr>
            </w:pPr>
            <w:r>
              <w:rPr>
                <w:rFonts w:hint="eastAsia" w:ascii="黑体" w:hAnsi="黑体" w:eastAsia="黑体"/>
                <w:bCs/>
                <w:sz w:val="20"/>
                <w:szCs w:val="20"/>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758" w:hRule="atLeast"/>
          <w:jc w:val="center"/>
        </w:trPr>
        <w:tc>
          <w:tcPr>
            <w:tcW w:w="0" w:type="auto"/>
            <w:vMerge w:val="restart"/>
            <w:vAlign w:val="center"/>
          </w:tcPr>
          <w:p>
            <w:pPr>
              <w:spacing w:line="260" w:lineRule="exact"/>
              <w:jc w:val="center"/>
              <w:rPr>
                <w:sz w:val="20"/>
                <w:szCs w:val="20"/>
              </w:rPr>
            </w:pPr>
            <w:r>
              <w:rPr>
                <w:sz w:val="20"/>
                <w:szCs w:val="20"/>
              </w:rPr>
              <w:t>1</w:t>
            </w:r>
            <w:r>
              <w:rPr>
                <w:rFonts w:hint="eastAsia"/>
                <w:sz w:val="20"/>
                <w:szCs w:val="20"/>
              </w:rPr>
              <w:t>．</w:t>
            </w:r>
            <w:r>
              <w:rPr>
                <w:sz w:val="20"/>
                <w:szCs w:val="20"/>
              </w:rPr>
              <w:t>办学定位</w:t>
            </w:r>
          </w:p>
          <w:p>
            <w:pPr>
              <w:spacing w:line="260" w:lineRule="exact"/>
              <w:jc w:val="center"/>
              <w:rPr>
                <w:sz w:val="20"/>
                <w:szCs w:val="20"/>
              </w:rPr>
            </w:pPr>
            <w:r>
              <w:rPr>
                <w:sz w:val="20"/>
                <w:szCs w:val="20"/>
              </w:rPr>
              <w:t>（40分）</w:t>
            </w:r>
          </w:p>
        </w:tc>
        <w:tc>
          <w:tcPr>
            <w:tcW w:w="0" w:type="auto"/>
            <w:vAlign w:val="center"/>
          </w:tcPr>
          <w:p>
            <w:pPr>
              <w:spacing w:line="260" w:lineRule="exact"/>
              <w:rPr>
                <w:sz w:val="20"/>
                <w:szCs w:val="20"/>
              </w:rPr>
            </w:pPr>
            <w:r>
              <w:rPr>
                <w:sz w:val="20"/>
                <w:szCs w:val="20"/>
              </w:rPr>
              <w:t>1.1 全面加强党的领导（15分）</w:t>
            </w:r>
          </w:p>
        </w:tc>
        <w:tc>
          <w:tcPr>
            <w:tcW w:w="2951" w:type="dxa"/>
            <w:vAlign w:val="center"/>
          </w:tcPr>
          <w:p>
            <w:pPr>
              <w:spacing w:line="260" w:lineRule="exact"/>
              <w:rPr>
                <w:sz w:val="20"/>
                <w:szCs w:val="20"/>
              </w:rPr>
            </w:pPr>
            <w:r>
              <w:rPr>
                <w:sz w:val="20"/>
                <w:szCs w:val="20"/>
              </w:rPr>
              <w:t>1.1.1 全面加强党的领导，坚持社会主义办学方向，落实立德树人根本任务，培养德智体美劳全面发展的社会主义建设者和接班人（15分）</w:t>
            </w:r>
          </w:p>
        </w:tc>
        <w:tc>
          <w:tcPr>
            <w:tcW w:w="3544" w:type="dxa"/>
            <w:vAlign w:val="center"/>
          </w:tcPr>
          <w:p>
            <w:pPr>
              <w:spacing w:line="260" w:lineRule="exact"/>
              <w:rPr>
                <w:sz w:val="20"/>
                <w:szCs w:val="20"/>
              </w:rPr>
            </w:pPr>
            <w:r>
              <w:rPr>
                <w:color w:val="000000"/>
                <w:sz w:val="20"/>
                <w:szCs w:val="20"/>
              </w:rPr>
              <w:t>（1）</w:t>
            </w:r>
            <w:r>
              <w:rPr>
                <w:rFonts w:hint="eastAsia"/>
                <w:color w:val="000000"/>
                <w:sz w:val="20"/>
                <w:szCs w:val="20"/>
              </w:rPr>
              <w:t>分校</w:t>
            </w:r>
            <w:r>
              <w:rPr>
                <w:sz w:val="20"/>
                <w:szCs w:val="20"/>
              </w:rPr>
              <w:t>发展定位及发展规划体现社会主义办学方向（4分）</w:t>
            </w:r>
          </w:p>
          <w:p>
            <w:pPr>
              <w:spacing w:line="260" w:lineRule="exact"/>
              <w:rPr>
                <w:sz w:val="20"/>
                <w:szCs w:val="20"/>
              </w:rPr>
            </w:pPr>
            <w:r>
              <w:rPr>
                <w:sz w:val="20"/>
                <w:szCs w:val="20"/>
              </w:rPr>
              <w:t>（2）基层党组织在办学中的作用发挥（4分）</w:t>
            </w:r>
          </w:p>
          <w:p>
            <w:pPr>
              <w:spacing w:line="260" w:lineRule="exact"/>
              <w:rPr>
                <w:color w:val="000000"/>
                <w:sz w:val="20"/>
                <w:szCs w:val="20"/>
              </w:rPr>
            </w:pPr>
            <w:r>
              <w:rPr>
                <w:sz w:val="20"/>
                <w:szCs w:val="20"/>
              </w:rPr>
              <w:t>（3）立德树人培育体系和落实机制（4分</w:t>
            </w:r>
            <w:r>
              <w:rPr>
                <w:color w:val="000000"/>
                <w:sz w:val="20"/>
                <w:szCs w:val="20"/>
              </w:rPr>
              <w:t>）</w:t>
            </w:r>
          </w:p>
          <w:p>
            <w:pPr>
              <w:spacing w:line="260" w:lineRule="exact"/>
              <w:rPr>
                <w:color w:val="000000"/>
                <w:sz w:val="20"/>
                <w:szCs w:val="20"/>
              </w:rPr>
            </w:pPr>
            <w:r>
              <w:rPr>
                <w:color w:val="000000"/>
                <w:sz w:val="20"/>
                <w:szCs w:val="20"/>
              </w:rPr>
              <w:t>（4）对毕业要求和课程体系（包括第二课堂）中体现德智体美劳培养目标的执行情况（3分）</w:t>
            </w:r>
          </w:p>
        </w:tc>
        <w:tc>
          <w:tcPr>
            <w:tcW w:w="2410" w:type="dxa"/>
            <w:vAlign w:val="center"/>
          </w:tcPr>
          <w:p>
            <w:pPr>
              <w:spacing w:line="260" w:lineRule="exact"/>
              <w:rPr>
                <w:sz w:val="20"/>
                <w:szCs w:val="20"/>
              </w:rPr>
            </w:pPr>
            <w:r>
              <w:rPr>
                <w:sz w:val="20"/>
                <w:szCs w:val="20"/>
              </w:rPr>
              <w:t>此项一级指标得分不足60%（即40</w:t>
            </w:r>
            <w:r>
              <w:rPr>
                <w:rFonts w:ascii="宋体" w:hAnsi="宋体"/>
                <w:sz w:val="20"/>
                <w:szCs w:val="20"/>
              </w:rPr>
              <w:t>×</w:t>
            </w:r>
            <w:r>
              <w:rPr>
                <w:sz w:val="20"/>
                <w:szCs w:val="20"/>
              </w:rPr>
              <w:t>60%=24分），即一票否决。</w:t>
            </w:r>
          </w:p>
        </w:tc>
        <w:tc>
          <w:tcPr>
            <w:tcW w:w="1134" w:type="dxa"/>
            <w:vMerge w:val="restart"/>
            <w:vAlign w:val="center"/>
          </w:tcPr>
          <w:p>
            <w:pPr>
              <w:spacing w:line="260" w:lineRule="exact"/>
              <w:jc w:val="center"/>
              <w:rPr>
                <w:rFonts w:hint="default" w:eastAsia="宋体"/>
                <w:sz w:val="20"/>
                <w:szCs w:val="20"/>
                <w:lang w:val="en-US" w:eastAsia="zh-CN"/>
              </w:rPr>
            </w:pPr>
            <w:r>
              <w:rPr>
                <w:rFonts w:hint="eastAsia"/>
                <w:sz w:val="20"/>
                <w:szCs w:val="20"/>
                <w:lang w:val="en-US" w:eastAsia="zh-CN"/>
              </w:rPr>
              <w:t>党政办</w: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rPr>
                <w:sz w:val="20"/>
                <w:szCs w:val="20"/>
              </w:rPr>
            </w:pPr>
          </w:p>
          <w:p>
            <w:pPr>
              <w:spacing w:line="260" w:lineRule="exact"/>
              <w:jc w:val="center"/>
              <w:rPr>
                <w:sz w:val="20"/>
                <w:szCs w:val="20"/>
              </w:rPr>
            </w:pPr>
          </w:p>
          <w:p>
            <w:pPr>
              <w:spacing w:line="260" w:lineRule="exact"/>
              <w:ind w:firstLine="200" w:firstLineChars="100"/>
              <w:rPr>
                <w:sz w:val="20"/>
                <w:szCs w:val="20"/>
              </w:rPr>
            </w:pPr>
          </w:p>
        </w:tc>
        <w:tc>
          <w:tcPr>
            <w:tcW w:w="850" w:type="dxa"/>
            <w:vAlign w:val="center"/>
          </w:tcPr>
          <w:p>
            <w:pPr>
              <w:spacing w:line="2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534" w:hRule="atLeast"/>
          <w:jc w:val="center"/>
        </w:trPr>
        <w:tc>
          <w:tcPr>
            <w:tcW w:w="0" w:type="auto"/>
            <w:vMerge w:val="continue"/>
            <w:vAlign w:val="center"/>
          </w:tcPr>
          <w:p>
            <w:pPr>
              <w:spacing w:line="260" w:lineRule="exact"/>
              <w:jc w:val="center"/>
              <w:rPr>
                <w:sz w:val="20"/>
                <w:szCs w:val="20"/>
              </w:rPr>
            </w:pPr>
          </w:p>
        </w:tc>
        <w:tc>
          <w:tcPr>
            <w:tcW w:w="0" w:type="auto"/>
            <w:vAlign w:val="center"/>
          </w:tcPr>
          <w:p>
            <w:pPr>
              <w:spacing w:line="260" w:lineRule="exact"/>
              <w:rPr>
                <w:sz w:val="20"/>
                <w:szCs w:val="20"/>
              </w:rPr>
            </w:pPr>
            <w:r>
              <w:rPr>
                <w:sz w:val="20"/>
                <w:szCs w:val="20"/>
              </w:rPr>
              <w:t>1.2 强化思想政治教育（15分）</w:t>
            </w:r>
          </w:p>
        </w:tc>
        <w:tc>
          <w:tcPr>
            <w:tcW w:w="2951" w:type="dxa"/>
            <w:vAlign w:val="center"/>
          </w:tcPr>
          <w:p>
            <w:pPr>
              <w:spacing w:line="260" w:lineRule="exact"/>
              <w:rPr>
                <w:sz w:val="20"/>
                <w:szCs w:val="20"/>
              </w:rPr>
            </w:pPr>
            <w:r>
              <w:rPr>
                <w:sz w:val="20"/>
                <w:szCs w:val="20"/>
              </w:rPr>
              <w:t>1.2.1 强化思想政治和新时代爱国主义教育，落实意识形态工作责任制，建立健全思想政治工作体系，形成</w:t>
            </w:r>
            <w:r>
              <w:rPr>
                <w:rFonts w:ascii="宋体" w:hAnsi="宋体"/>
                <w:sz w:val="20"/>
                <w:szCs w:val="20"/>
              </w:rPr>
              <w:t>“</w:t>
            </w:r>
            <w:r>
              <w:rPr>
                <w:sz w:val="20"/>
                <w:szCs w:val="20"/>
              </w:rPr>
              <w:t>三全育人</w:t>
            </w:r>
            <w:r>
              <w:rPr>
                <w:rFonts w:ascii="宋体" w:hAnsi="宋体"/>
                <w:sz w:val="20"/>
                <w:szCs w:val="20"/>
              </w:rPr>
              <w:t>”</w:t>
            </w:r>
            <w:r>
              <w:rPr>
                <w:sz w:val="20"/>
                <w:szCs w:val="20"/>
              </w:rPr>
              <w:t>工作格局（15分）</w:t>
            </w:r>
          </w:p>
        </w:tc>
        <w:tc>
          <w:tcPr>
            <w:tcW w:w="3544" w:type="dxa"/>
            <w:vAlign w:val="center"/>
          </w:tcPr>
          <w:p>
            <w:pPr>
              <w:spacing w:line="260" w:lineRule="exact"/>
              <w:rPr>
                <w:color w:val="000000"/>
                <w:sz w:val="20"/>
                <w:szCs w:val="20"/>
              </w:rPr>
            </w:pPr>
            <w:r>
              <w:rPr>
                <w:color w:val="000000"/>
                <w:sz w:val="20"/>
                <w:szCs w:val="20"/>
              </w:rPr>
              <w:t>（1）思想政治和新时代爱国主义教育工作及其落实情况（重点看过程材料和实施效果）（6分）</w:t>
            </w:r>
          </w:p>
          <w:p>
            <w:pPr>
              <w:spacing w:line="260" w:lineRule="exact"/>
              <w:rPr>
                <w:color w:val="000000"/>
                <w:sz w:val="20"/>
                <w:szCs w:val="20"/>
              </w:rPr>
            </w:pPr>
            <w:r>
              <w:rPr>
                <w:color w:val="000000"/>
                <w:sz w:val="20"/>
                <w:szCs w:val="20"/>
              </w:rPr>
              <w:t>（2）意识形态工作责任制及其落实情况（5分）</w:t>
            </w:r>
          </w:p>
          <w:p>
            <w:pPr>
              <w:spacing w:line="260" w:lineRule="exact"/>
              <w:rPr>
                <w:color w:val="000000"/>
                <w:sz w:val="20"/>
                <w:szCs w:val="20"/>
              </w:rPr>
            </w:pPr>
            <w:r>
              <w:rPr>
                <w:color w:val="000000"/>
                <w:sz w:val="20"/>
                <w:szCs w:val="20"/>
              </w:rPr>
              <w:t>（3）</w:t>
            </w:r>
            <w:r>
              <w:rPr>
                <w:rFonts w:ascii="宋体" w:hAnsi="宋体"/>
                <w:color w:val="000000"/>
                <w:sz w:val="20"/>
                <w:szCs w:val="20"/>
              </w:rPr>
              <w:t>“</w:t>
            </w:r>
            <w:r>
              <w:rPr>
                <w:color w:val="000000"/>
                <w:sz w:val="20"/>
                <w:szCs w:val="20"/>
              </w:rPr>
              <w:t>三全育人</w:t>
            </w:r>
            <w:r>
              <w:rPr>
                <w:rFonts w:ascii="宋体" w:hAnsi="宋体"/>
                <w:color w:val="000000"/>
                <w:sz w:val="20"/>
                <w:szCs w:val="20"/>
              </w:rPr>
              <w:t>”</w:t>
            </w:r>
            <w:r>
              <w:rPr>
                <w:color w:val="000000"/>
                <w:sz w:val="20"/>
                <w:szCs w:val="20"/>
              </w:rPr>
              <w:t>工作体系文件资料、过程材料、工作效果（4分）</w:t>
            </w:r>
          </w:p>
        </w:tc>
        <w:tc>
          <w:tcPr>
            <w:tcW w:w="2410" w:type="dxa"/>
            <w:vAlign w:val="center"/>
          </w:tcPr>
          <w:p>
            <w:pPr>
              <w:spacing w:line="260" w:lineRule="exact"/>
              <w:rPr>
                <w:b/>
                <w:sz w:val="20"/>
                <w:szCs w:val="20"/>
              </w:rPr>
            </w:pPr>
            <w:r>
              <w:rPr>
                <w:b/>
                <w:sz w:val="20"/>
                <w:szCs w:val="20"/>
              </w:rPr>
              <w:t>本项指标与4.4之间有关联。本指标是办学定位层面的思政教育，是顶层设计引领、政策制度层面保障等综合呈现</w:t>
            </w:r>
            <w:r>
              <w:rPr>
                <w:rFonts w:hint="eastAsia"/>
                <w:b/>
                <w:sz w:val="20"/>
                <w:szCs w:val="20"/>
              </w:rPr>
              <w:t>。</w:t>
            </w:r>
            <w:r>
              <w:rPr>
                <w:b/>
                <w:sz w:val="20"/>
                <w:szCs w:val="20"/>
              </w:rPr>
              <w:t>4.4是教学具体落实实施层面。</w:t>
            </w:r>
          </w:p>
        </w:tc>
        <w:tc>
          <w:tcPr>
            <w:tcW w:w="1134" w:type="dxa"/>
            <w:vMerge w:val="continue"/>
            <w:vAlign w:val="center"/>
          </w:tcPr>
          <w:p>
            <w:pPr>
              <w:spacing w:line="260" w:lineRule="exact"/>
              <w:jc w:val="center"/>
              <w:rPr>
                <w:b/>
                <w:sz w:val="20"/>
                <w:szCs w:val="20"/>
              </w:rPr>
            </w:pPr>
          </w:p>
        </w:tc>
        <w:tc>
          <w:tcPr>
            <w:tcW w:w="850" w:type="dxa"/>
            <w:vAlign w:val="center"/>
          </w:tcPr>
          <w:p>
            <w:pPr>
              <w:spacing w:line="260" w:lineRule="exact"/>
              <w:jc w:val="cente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Align w:val="center"/>
          </w:tcPr>
          <w:p>
            <w:pPr>
              <w:spacing w:line="260" w:lineRule="exact"/>
              <w:rPr>
                <w:sz w:val="20"/>
                <w:szCs w:val="20"/>
              </w:rPr>
            </w:pPr>
            <w:r>
              <w:rPr>
                <w:sz w:val="20"/>
                <w:szCs w:val="20"/>
              </w:rPr>
              <w:t>1.3 重视大学文化建设（10分）</w:t>
            </w:r>
          </w:p>
        </w:tc>
        <w:tc>
          <w:tcPr>
            <w:tcW w:w="2951" w:type="dxa"/>
            <w:vAlign w:val="center"/>
          </w:tcPr>
          <w:p>
            <w:pPr>
              <w:spacing w:line="260" w:lineRule="exact"/>
              <w:rPr>
                <w:sz w:val="20"/>
                <w:szCs w:val="20"/>
              </w:rPr>
            </w:pPr>
            <w:r>
              <w:rPr>
                <w:sz w:val="20"/>
                <w:szCs w:val="20"/>
              </w:rPr>
              <w:t>1.3.1 按照</w:t>
            </w:r>
            <w:r>
              <w:rPr>
                <w:rFonts w:ascii="宋体" w:hAnsi="宋体"/>
                <w:sz w:val="20"/>
                <w:szCs w:val="20"/>
              </w:rPr>
              <w:t>“</w:t>
            </w:r>
            <w:r>
              <w:rPr>
                <w:sz w:val="20"/>
                <w:szCs w:val="20"/>
              </w:rPr>
              <w:t>统一品牌</w:t>
            </w:r>
            <w:r>
              <w:rPr>
                <w:rFonts w:ascii="宋体" w:hAnsi="宋体"/>
                <w:sz w:val="20"/>
                <w:szCs w:val="20"/>
              </w:rPr>
              <w:t>”</w:t>
            </w:r>
            <w:r>
              <w:rPr>
                <w:sz w:val="20"/>
                <w:szCs w:val="20"/>
              </w:rPr>
              <w:t>要求，宣传学校文化，践行国家开放大学的质量观，运用国家开放大学的标识、校训、校歌营造校园氛围，落实好</w:t>
            </w:r>
            <w:r>
              <w:rPr>
                <w:rFonts w:hint="eastAsia"/>
                <w:color w:val="000000"/>
                <w:sz w:val="20"/>
                <w:szCs w:val="20"/>
              </w:rPr>
              <w:t>省校</w:t>
            </w:r>
            <w:r>
              <w:rPr>
                <w:sz w:val="20"/>
                <w:szCs w:val="20"/>
              </w:rPr>
              <w:t>开展的各项文化活动；有校园文化建设（10分）</w:t>
            </w:r>
          </w:p>
        </w:tc>
        <w:tc>
          <w:tcPr>
            <w:tcW w:w="3544" w:type="dxa"/>
            <w:vAlign w:val="center"/>
          </w:tcPr>
          <w:p>
            <w:pPr>
              <w:spacing w:line="260" w:lineRule="exact"/>
              <w:rPr>
                <w:color w:val="000000"/>
                <w:sz w:val="20"/>
                <w:szCs w:val="20"/>
              </w:rPr>
            </w:pPr>
            <w:r>
              <w:rPr>
                <w:color w:val="000000"/>
                <w:sz w:val="20"/>
                <w:szCs w:val="20"/>
              </w:rPr>
              <w:t>（1）环境文化是否充分使用</w:t>
            </w:r>
            <w:r>
              <w:rPr>
                <w:rFonts w:hint="eastAsia"/>
                <w:color w:val="000000"/>
                <w:sz w:val="20"/>
                <w:szCs w:val="20"/>
              </w:rPr>
              <w:t>国家</w:t>
            </w:r>
            <w:r>
              <w:rPr>
                <w:color w:val="000000"/>
                <w:sz w:val="20"/>
                <w:szCs w:val="20"/>
              </w:rPr>
              <w:t>开放大学标识、校训</w:t>
            </w:r>
            <w:r>
              <w:rPr>
                <w:rFonts w:hint="eastAsia"/>
                <w:color w:val="000000"/>
                <w:sz w:val="20"/>
                <w:szCs w:val="20"/>
              </w:rPr>
              <w:t>、校歌营造</w:t>
            </w:r>
            <w:r>
              <w:rPr>
                <w:color w:val="000000"/>
                <w:sz w:val="20"/>
                <w:szCs w:val="20"/>
              </w:rPr>
              <w:t>校园文化氛围（3分）</w:t>
            </w:r>
          </w:p>
          <w:p>
            <w:pPr>
              <w:spacing w:line="260" w:lineRule="exact"/>
              <w:rPr>
                <w:color w:val="000000"/>
                <w:sz w:val="20"/>
                <w:szCs w:val="20"/>
              </w:rPr>
            </w:pPr>
            <w:r>
              <w:rPr>
                <w:color w:val="000000"/>
                <w:sz w:val="20"/>
                <w:szCs w:val="20"/>
              </w:rPr>
              <w:t>（2）</w:t>
            </w:r>
            <w:r>
              <w:rPr>
                <w:rFonts w:hint="eastAsia"/>
                <w:color w:val="000000"/>
                <w:sz w:val="20"/>
                <w:szCs w:val="20"/>
              </w:rPr>
              <w:t>分校</w:t>
            </w:r>
            <w:r>
              <w:rPr>
                <w:color w:val="000000"/>
                <w:sz w:val="20"/>
                <w:szCs w:val="20"/>
              </w:rPr>
              <w:t>干部、教师、学生对</w:t>
            </w:r>
            <w:r>
              <w:rPr>
                <w:rFonts w:hint="eastAsia"/>
                <w:color w:val="000000"/>
                <w:sz w:val="20"/>
                <w:szCs w:val="20"/>
              </w:rPr>
              <w:t>国家</w:t>
            </w:r>
            <w:r>
              <w:rPr>
                <w:color w:val="000000"/>
                <w:sz w:val="20"/>
                <w:szCs w:val="20"/>
              </w:rPr>
              <w:t>开放大学的基本文化了解程度（2分）</w:t>
            </w:r>
          </w:p>
          <w:p>
            <w:pPr>
              <w:spacing w:line="260" w:lineRule="exact"/>
              <w:rPr>
                <w:color w:val="000000"/>
                <w:sz w:val="20"/>
                <w:szCs w:val="20"/>
              </w:rPr>
            </w:pPr>
            <w:r>
              <w:rPr>
                <w:color w:val="000000"/>
                <w:sz w:val="20"/>
                <w:szCs w:val="20"/>
              </w:rPr>
              <w:t>（3）</w:t>
            </w:r>
            <w:r>
              <w:rPr>
                <w:rFonts w:hint="eastAsia"/>
                <w:color w:val="000000"/>
                <w:sz w:val="20"/>
                <w:szCs w:val="20"/>
              </w:rPr>
              <w:t>省校</w:t>
            </w:r>
            <w:r>
              <w:rPr>
                <w:color w:val="000000"/>
                <w:sz w:val="20"/>
                <w:szCs w:val="20"/>
              </w:rPr>
              <w:t>统一组织的各类文化活动落实情况（2分）</w:t>
            </w:r>
          </w:p>
          <w:p>
            <w:pPr>
              <w:spacing w:line="260" w:lineRule="exact"/>
              <w:rPr>
                <w:color w:val="000000"/>
                <w:sz w:val="20"/>
                <w:szCs w:val="20"/>
              </w:rPr>
            </w:pPr>
            <w:r>
              <w:rPr>
                <w:color w:val="000000"/>
                <w:sz w:val="20"/>
                <w:szCs w:val="20"/>
              </w:rPr>
              <w:t>（4）校园文化建设情况（3分）</w:t>
            </w:r>
          </w:p>
        </w:tc>
        <w:tc>
          <w:tcPr>
            <w:tcW w:w="2410" w:type="dxa"/>
            <w:vAlign w:val="center"/>
          </w:tcPr>
          <w:p>
            <w:pPr>
              <w:spacing w:line="260" w:lineRule="exact"/>
              <w:rPr>
                <w:sz w:val="20"/>
                <w:szCs w:val="20"/>
              </w:rPr>
            </w:pPr>
            <w:r>
              <w:rPr>
                <w:rFonts w:hint="eastAsia"/>
                <w:sz w:val="20"/>
                <w:szCs w:val="20"/>
              </w:rPr>
              <w:t>1．</w:t>
            </w:r>
            <w:r>
              <w:rPr>
                <w:sz w:val="20"/>
                <w:szCs w:val="20"/>
              </w:rPr>
              <w:t>校园内须有国开统一的文化标识与宣传，师生要熟悉国开标识、校训、校歌。</w:t>
            </w:r>
          </w:p>
          <w:p>
            <w:pPr>
              <w:spacing w:line="260" w:lineRule="exact"/>
              <w:rPr>
                <w:sz w:val="20"/>
                <w:szCs w:val="20"/>
              </w:rPr>
            </w:pPr>
            <w:r>
              <w:rPr>
                <w:rFonts w:hint="eastAsia"/>
                <w:sz w:val="20"/>
                <w:szCs w:val="20"/>
              </w:rPr>
              <w:t>2．观测点（4）着重描述突出开放教育特色的相关文化建设情况。</w:t>
            </w:r>
          </w:p>
        </w:tc>
        <w:tc>
          <w:tcPr>
            <w:tcW w:w="1134" w:type="dxa"/>
            <w:vMerge w:val="continue"/>
            <w:vAlign w:val="center"/>
          </w:tcPr>
          <w:p>
            <w:pPr>
              <w:spacing w:line="260" w:lineRule="exact"/>
              <w:jc w:val="center"/>
              <w:rPr>
                <w:sz w:val="20"/>
                <w:szCs w:val="20"/>
              </w:rPr>
            </w:pPr>
          </w:p>
        </w:tc>
        <w:tc>
          <w:tcPr>
            <w:tcW w:w="850" w:type="dxa"/>
            <w:vAlign w:val="center"/>
          </w:tcPr>
          <w:p>
            <w:pPr>
              <w:spacing w:line="2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90" w:hRule="atLeast"/>
          <w:jc w:val="center"/>
        </w:trPr>
        <w:tc>
          <w:tcPr>
            <w:tcW w:w="0" w:type="auto"/>
            <w:vMerge w:val="restart"/>
            <w:vAlign w:val="center"/>
          </w:tcPr>
          <w:p>
            <w:pPr>
              <w:spacing w:line="260" w:lineRule="exact"/>
              <w:jc w:val="center"/>
              <w:rPr>
                <w:sz w:val="20"/>
                <w:szCs w:val="20"/>
              </w:rPr>
            </w:pPr>
            <w:r>
              <w:rPr>
                <w:sz w:val="20"/>
                <w:szCs w:val="20"/>
              </w:rPr>
              <w:t>2</w:t>
            </w:r>
            <w:r>
              <w:rPr>
                <w:rFonts w:hint="eastAsia"/>
                <w:sz w:val="20"/>
                <w:szCs w:val="20"/>
              </w:rPr>
              <w:t>．</w:t>
            </w:r>
            <w:r>
              <w:rPr>
                <w:sz w:val="20"/>
                <w:szCs w:val="20"/>
              </w:rPr>
              <w:t>体系办学</w:t>
            </w:r>
          </w:p>
          <w:p>
            <w:pPr>
              <w:spacing w:line="260" w:lineRule="exact"/>
              <w:jc w:val="center"/>
              <w:rPr>
                <w:sz w:val="20"/>
                <w:szCs w:val="20"/>
              </w:rPr>
            </w:pPr>
            <w:r>
              <w:rPr>
                <w:rFonts w:hint="eastAsia" w:ascii="宋体" w:hAnsi="宋体"/>
                <w:sz w:val="20"/>
                <w:szCs w:val="20"/>
              </w:rPr>
              <w:t>(</w:t>
            </w:r>
            <w:r>
              <w:rPr>
                <w:sz w:val="20"/>
                <w:szCs w:val="20"/>
              </w:rPr>
              <w:t>120分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 xml:space="preserve">2.1 </w:t>
            </w:r>
            <w:r>
              <w:rPr>
                <w:rFonts w:hint="eastAsia"/>
                <w:color w:val="000000"/>
                <w:sz w:val="20"/>
                <w:szCs w:val="20"/>
              </w:rPr>
              <w:t>省校</w:t>
            </w:r>
            <w:r>
              <w:rPr>
                <w:sz w:val="20"/>
                <w:szCs w:val="20"/>
              </w:rPr>
              <w:t>教学相关工作落实情况（20分）</w:t>
            </w:r>
          </w:p>
        </w:tc>
        <w:tc>
          <w:tcPr>
            <w:tcW w:w="2951" w:type="dxa"/>
            <w:vAlign w:val="center"/>
          </w:tcPr>
          <w:p>
            <w:pPr>
              <w:spacing w:line="260" w:lineRule="exact"/>
              <w:rPr>
                <w:sz w:val="20"/>
                <w:szCs w:val="20"/>
              </w:rPr>
            </w:pPr>
            <w:r>
              <w:rPr>
                <w:sz w:val="20"/>
                <w:szCs w:val="20"/>
              </w:rPr>
              <w:t>2.1.1 及时传达、部署、完成</w:t>
            </w:r>
            <w:r>
              <w:rPr>
                <w:rFonts w:hint="eastAsia"/>
                <w:color w:val="000000"/>
                <w:sz w:val="20"/>
                <w:szCs w:val="20"/>
              </w:rPr>
              <w:t>省校</w:t>
            </w:r>
            <w:r>
              <w:rPr>
                <w:sz w:val="20"/>
                <w:szCs w:val="20"/>
              </w:rPr>
              <w:t>教学相关文件要求（10分）</w:t>
            </w:r>
          </w:p>
        </w:tc>
        <w:tc>
          <w:tcPr>
            <w:tcW w:w="3544" w:type="dxa"/>
            <w:vAlign w:val="center"/>
          </w:tcPr>
          <w:p>
            <w:pPr>
              <w:spacing w:line="260" w:lineRule="exact"/>
              <w:rPr>
                <w:color w:val="000000"/>
                <w:sz w:val="20"/>
                <w:szCs w:val="20"/>
              </w:rPr>
            </w:pPr>
            <w:r>
              <w:rPr>
                <w:color w:val="000000"/>
                <w:sz w:val="20"/>
                <w:szCs w:val="20"/>
              </w:rPr>
              <w:t>（1）有对</w:t>
            </w:r>
            <w:r>
              <w:rPr>
                <w:rFonts w:hint="eastAsia"/>
                <w:color w:val="000000"/>
                <w:sz w:val="20"/>
                <w:szCs w:val="20"/>
              </w:rPr>
              <w:t>省校</w:t>
            </w:r>
            <w:r>
              <w:rPr>
                <w:color w:val="000000"/>
                <w:sz w:val="20"/>
                <w:szCs w:val="20"/>
              </w:rPr>
              <w:t>文件的转发、部署、落实等工作机制和记录（5分）</w:t>
            </w:r>
          </w:p>
          <w:p>
            <w:pPr>
              <w:spacing w:line="260" w:lineRule="exact"/>
              <w:rPr>
                <w:color w:val="000000"/>
                <w:sz w:val="20"/>
                <w:szCs w:val="20"/>
              </w:rPr>
            </w:pPr>
            <w:r>
              <w:rPr>
                <w:color w:val="000000"/>
                <w:sz w:val="20"/>
                <w:szCs w:val="20"/>
              </w:rPr>
              <w:t>（2）落实</w:t>
            </w:r>
            <w:r>
              <w:rPr>
                <w:rFonts w:hint="eastAsia"/>
                <w:color w:val="000000"/>
                <w:sz w:val="20"/>
                <w:szCs w:val="20"/>
              </w:rPr>
              <w:t>省校</w:t>
            </w:r>
            <w:r>
              <w:rPr>
                <w:color w:val="000000"/>
                <w:sz w:val="20"/>
                <w:szCs w:val="20"/>
              </w:rPr>
              <w:t>教学相关文件的</w:t>
            </w:r>
            <w:r>
              <w:rPr>
                <w:rFonts w:hint="eastAsia"/>
                <w:color w:val="000000"/>
                <w:sz w:val="20"/>
                <w:szCs w:val="20"/>
              </w:rPr>
              <w:t>实效性及其</w:t>
            </w:r>
            <w:r>
              <w:rPr>
                <w:color w:val="000000"/>
                <w:sz w:val="20"/>
                <w:szCs w:val="20"/>
              </w:rPr>
              <w:t>准确程度（5分）</w:t>
            </w:r>
          </w:p>
        </w:tc>
        <w:tc>
          <w:tcPr>
            <w:tcW w:w="2410" w:type="dxa"/>
            <w:vAlign w:val="center"/>
          </w:tcPr>
          <w:p>
            <w:pPr>
              <w:spacing w:line="260" w:lineRule="exact"/>
              <w:rPr>
                <w:sz w:val="20"/>
                <w:szCs w:val="20"/>
              </w:rPr>
            </w:pPr>
            <w:r>
              <w:rPr>
                <w:b/>
                <w:sz w:val="20"/>
                <w:szCs w:val="20"/>
              </w:rPr>
              <w:t>强调时效性、上下贯通及时</w:t>
            </w:r>
            <w:r>
              <w:rPr>
                <w:sz w:val="20"/>
                <w:szCs w:val="20"/>
              </w:rPr>
              <w:t>，专项行动要有配套的落实方案。</w:t>
            </w:r>
          </w:p>
        </w:tc>
        <w:tc>
          <w:tcPr>
            <w:tcW w:w="1134" w:type="dxa"/>
            <w:vMerge w:val="restart"/>
            <w:vAlign w:val="center"/>
          </w:tcPr>
          <w:p>
            <w:pPr>
              <w:spacing w:line="260" w:lineRule="exact"/>
              <w:jc w:val="center"/>
              <w:rPr>
                <w:b/>
                <w:sz w:val="20"/>
                <w:szCs w:val="20"/>
              </w:rPr>
            </w:pPr>
          </w:p>
          <w:p>
            <w:pPr>
              <w:spacing w:line="260" w:lineRule="exact"/>
              <w:jc w:val="center"/>
              <w:rPr>
                <w:b/>
                <w:sz w:val="20"/>
                <w:szCs w:val="20"/>
              </w:rPr>
            </w:pPr>
          </w:p>
          <w:p>
            <w:pPr>
              <w:spacing w:line="260" w:lineRule="exact"/>
              <w:jc w:val="center"/>
              <w:rPr>
                <w:b/>
                <w:sz w:val="20"/>
                <w:szCs w:val="20"/>
              </w:rPr>
            </w:pPr>
          </w:p>
          <w:p>
            <w:pPr>
              <w:spacing w:line="260" w:lineRule="exact"/>
              <w:jc w:val="center"/>
              <w:rPr>
                <w:b/>
                <w:sz w:val="20"/>
                <w:szCs w:val="20"/>
              </w:rPr>
            </w:pPr>
          </w:p>
          <w:p>
            <w:pPr>
              <w:spacing w:line="260" w:lineRule="exact"/>
              <w:jc w:val="center"/>
              <w:rPr>
                <w:b/>
                <w:sz w:val="20"/>
                <w:szCs w:val="20"/>
              </w:rPr>
            </w:pPr>
          </w:p>
          <w:p>
            <w:pPr>
              <w:spacing w:line="260" w:lineRule="exact"/>
              <w:jc w:val="center"/>
              <w:rPr>
                <w:b/>
                <w:sz w:val="20"/>
                <w:szCs w:val="20"/>
              </w:rPr>
            </w:pPr>
          </w:p>
          <w:p>
            <w:pPr>
              <w:spacing w:line="240" w:lineRule="exact"/>
              <w:jc w:val="center"/>
              <w:rPr>
                <w:rFonts w:hint="default" w:eastAsia="宋体"/>
                <w:sz w:val="20"/>
                <w:szCs w:val="20"/>
                <w:lang w:val="en-US" w:eastAsia="zh-CN"/>
              </w:rPr>
            </w:pPr>
            <w:r>
              <w:rPr>
                <w:rFonts w:hint="eastAsia"/>
                <w:sz w:val="20"/>
                <w:szCs w:val="20"/>
                <w:lang w:val="en-US" w:eastAsia="zh-CN"/>
              </w:rPr>
              <w:t>党政办</w:t>
            </w:r>
          </w:p>
          <w:p>
            <w:pPr>
              <w:spacing w:line="260" w:lineRule="exact"/>
              <w:jc w:val="center"/>
              <w:rPr>
                <w:b/>
                <w:sz w:val="20"/>
                <w:szCs w:val="20"/>
              </w:rPr>
            </w:pPr>
          </w:p>
          <w:p>
            <w:pPr>
              <w:spacing w:line="260" w:lineRule="exact"/>
              <w:jc w:val="center"/>
              <w:rPr>
                <w:b/>
                <w:sz w:val="20"/>
                <w:szCs w:val="20"/>
              </w:rPr>
            </w:pPr>
          </w:p>
          <w:p>
            <w:pPr>
              <w:spacing w:line="260" w:lineRule="exact"/>
              <w:jc w:val="center"/>
              <w:rPr>
                <w:b/>
                <w:sz w:val="20"/>
                <w:szCs w:val="20"/>
              </w:rPr>
            </w:pPr>
          </w:p>
          <w:p>
            <w:pPr>
              <w:spacing w:line="260" w:lineRule="exact"/>
              <w:ind w:firstLine="200" w:firstLineChars="100"/>
              <w:jc w:val="center"/>
              <w:rPr>
                <w:sz w:val="20"/>
                <w:szCs w:val="20"/>
              </w:rPr>
            </w:pPr>
          </w:p>
          <w:p>
            <w:pPr>
              <w:spacing w:line="240" w:lineRule="exact"/>
              <w:jc w:val="center"/>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column">
                        <wp:posOffset>482600</wp:posOffset>
                      </wp:positionH>
                      <wp:positionV relativeFrom="paragraph">
                        <wp:posOffset>138430</wp:posOffset>
                      </wp:positionV>
                      <wp:extent cx="238125" cy="0"/>
                      <wp:effectExtent l="0" t="6350" r="0" b="6350"/>
                      <wp:wrapNone/>
                      <wp:docPr id="4" name="直接连接符 4"/>
                      <wp:cNvGraphicFramePr/>
                      <a:graphic xmlns:a="http://schemas.openxmlformats.org/drawingml/2006/main">
                        <a:graphicData uri="http://schemas.microsoft.com/office/word/2010/wordprocessingShape">
                          <wps:wsp>
                            <wps:cNvCnPr/>
                            <wps:spPr>
                              <a:xfrm>
                                <a:off x="8818245" y="2517775"/>
                                <a:ext cx="238125"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38pt;margin-top:10.9pt;height:0pt;width:18.75pt;z-index:251660288;mso-width-relative:page;mso-height-relative:page;" filled="f" stroked="t" coordsize="21600,21600" o:gfxdata="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WPHWdcAAAAIAQAADwAAAAAAAAABACAAAAAiAAAAZHJzL2Rvd25yZXYueG1sUEsBAhQA&#10;FAAAAAgAh07iQE2n/9zzAQAAvAMAAA4AAAAAAAAAAQAgAAAAJgEAAGRycy9lMm9Eb2MueG1sUEsF&#10;BgAAAAAGAAYAWQEAAIsFAAAAAA==&#10;">
                      <v:fill on="f" focussize="0,0"/>
                      <v:stroke weight="1pt" color="#000000" miterlimit="8" joinstyle="miter"/>
                      <v:imagedata o:title=""/>
                      <o:lock v:ext="edit" aspectratio="f"/>
                    </v:line>
                  </w:pict>
                </mc:Fallback>
              </mc:AlternateContent>
            </w:r>
            <w:r>
              <w:rPr>
                <w:sz w:val="20"/>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132080</wp:posOffset>
                      </wp:positionV>
                      <wp:extent cx="762000" cy="6350"/>
                      <wp:effectExtent l="0" t="0" r="0" b="0"/>
                      <wp:wrapNone/>
                      <wp:docPr id="2" name="直接连接符 2"/>
                      <wp:cNvGraphicFramePr/>
                      <a:graphic xmlns:a="http://schemas.openxmlformats.org/drawingml/2006/main">
                        <a:graphicData uri="http://schemas.microsoft.com/office/word/2010/wordprocessingShape">
                          <wps:wsp>
                            <wps:cNvCnPr/>
                            <wps:spPr>
                              <a:xfrm flipV="1">
                                <a:off x="8246745" y="2527300"/>
                                <a:ext cx="762000" cy="635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2.5pt;margin-top:10.4pt;height:0.5pt;width:60pt;z-index:251659264;mso-width-relative:page;mso-height-relative:page;" filled="f" stroked="t" coordsize="21600,21600" o:gfxdata="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lZnd9QAAAAIAQAADwAAAAAAAAABACAAAAAiAAAAZHJzL2Rvd25yZXYueG1sUEsB&#10;AhQAFAAAAAgAh07iQHROmEf5AQAAyQMAAA4AAAAAAAAAAQAgAAAAIwEAAGRycy9lMm9Eb2MueG1s&#10;UEsFBgAAAAAGAAYAWQEAAI4FAAAAAA==&#10;">
                      <v:fill on="f" focussize="0,0"/>
                      <v:stroke weight="1pt" color="#000000" miterlimit="8" joinstyle="miter"/>
                      <v:imagedata o:title=""/>
                      <o:lock v:ext="edit" aspectratio="f"/>
                    </v:line>
                  </w:pict>
                </mc:Fallback>
              </mc:AlternateContent>
            </w: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rFonts w:hint="default" w:eastAsia="宋体"/>
                <w:sz w:val="20"/>
                <w:szCs w:val="20"/>
                <w:lang w:val="en-US" w:eastAsia="zh-CN"/>
              </w:rPr>
            </w:pPr>
            <w:r>
              <w:rPr>
                <w:rFonts w:hint="eastAsia"/>
                <w:sz w:val="20"/>
                <w:szCs w:val="20"/>
                <w:lang w:val="en-US" w:eastAsia="zh-CN"/>
              </w:rPr>
              <w:t>教务处</w:t>
            </w: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jc w:val="center"/>
              <w:rPr>
                <w:sz w:val="20"/>
                <w:szCs w:val="20"/>
              </w:rPr>
            </w:pPr>
          </w:p>
          <w:p>
            <w:pPr>
              <w:spacing w:line="240" w:lineRule="exact"/>
              <w:ind w:firstLine="200" w:firstLineChars="100"/>
              <w:jc w:val="center"/>
              <w:rPr>
                <w:sz w:val="20"/>
                <w:szCs w:val="20"/>
              </w:rPr>
            </w:pPr>
            <w:r>
              <w:rPr>
                <w:sz w:val="20"/>
              </w:rPr>
              <mc:AlternateContent>
                <mc:Choice Requires="wps">
                  <w:drawing>
                    <wp:anchor distT="0" distB="0" distL="114300" distR="114300" simplePos="0" relativeHeight="251661312" behindDoc="0" locked="0" layoutInCell="1" allowOverlap="1">
                      <wp:simplePos x="0" y="0"/>
                      <wp:positionH relativeFrom="column">
                        <wp:posOffset>-41275</wp:posOffset>
                      </wp:positionH>
                      <wp:positionV relativeFrom="paragraph">
                        <wp:posOffset>149860</wp:posOffset>
                      </wp:positionV>
                      <wp:extent cx="723900" cy="13335"/>
                      <wp:effectExtent l="0" t="6350" r="0" b="8890"/>
                      <wp:wrapNone/>
                      <wp:docPr id="5" name="直接连接符 5"/>
                      <wp:cNvGraphicFramePr/>
                      <a:graphic xmlns:a="http://schemas.openxmlformats.org/drawingml/2006/main">
                        <a:graphicData uri="http://schemas.microsoft.com/office/word/2010/wordprocessingShape">
                          <wps:wsp>
                            <wps:cNvCnPr/>
                            <wps:spPr>
                              <a:xfrm>
                                <a:off x="8246745" y="5577205"/>
                                <a:ext cx="723900" cy="13335"/>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3.25pt;margin-top:11.8pt;height:1.05pt;width:57pt;z-index:251661312;mso-width-relative:page;mso-height-relative:page;" filled="f" stroked="t" coordsize="21600,21600" o:gfxdata="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Vw3z22AAAAAgBAAAPAAAAAAAAAAEAIAAAACIAAABkcnMvZG93bnJldi54bWxQSwEC&#10;FAAUAAAACACHTuJAZdEBTPQBAADAAwAADgAAAAAAAAABACAAAAAnAQAAZHJzL2Uyb0RvYy54bWxQ&#10;SwUGAAAAAAYABgBZAQAAjQUAAAAA&#10;">
                      <v:fill on="f" focussize="0,0"/>
                      <v:stroke weight="1pt" color="#000000" miterlimit="8" joinstyle="miter"/>
                      <v:imagedata o:title=""/>
                      <o:lock v:ext="edit" aspectratio="f"/>
                    </v:line>
                  </w:pict>
                </mc:Fallback>
              </mc:AlternateContent>
            </w:r>
          </w:p>
          <w:p>
            <w:pPr>
              <w:spacing w:line="240" w:lineRule="exact"/>
              <w:ind w:firstLine="200" w:firstLineChars="100"/>
              <w:jc w:val="center"/>
              <w:rPr>
                <w:sz w:val="20"/>
                <w:szCs w:val="20"/>
              </w:rPr>
            </w:pPr>
          </w:p>
          <w:p>
            <w:pPr>
              <w:spacing w:line="240" w:lineRule="exact"/>
              <w:ind w:firstLine="200" w:firstLineChars="100"/>
              <w:jc w:val="center"/>
              <w:rPr>
                <w:sz w:val="20"/>
                <w:szCs w:val="20"/>
              </w:rPr>
            </w:pPr>
          </w:p>
          <w:p>
            <w:pPr>
              <w:spacing w:line="240" w:lineRule="exact"/>
              <w:ind w:firstLine="200" w:firstLineChars="100"/>
              <w:jc w:val="center"/>
              <w:rPr>
                <w:rFonts w:hint="default" w:eastAsia="宋体"/>
                <w:sz w:val="20"/>
                <w:szCs w:val="20"/>
                <w:lang w:val="en-US" w:eastAsia="zh-CN"/>
              </w:rPr>
            </w:pPr>
            <w:r>
              <w:rPr>
                <w:rFonts w:hint="eastAsia"/>
                <w:sz w:val="20"/>
                <w:szCs w:val="20"/>
                <w:lang w:val="en-US" w:eastAsia="zh-CN"/>
              </w:rPr>
              <w:t>总务处</w:t>
            </w:r>
          </w:p>
          <w:p>
            <w:pPr>
              <w:spacing w:line="240" w:lineRule="exact"/>
              <w:ind w:firstLine="200" w:firstLineChars="100"/>
              <w:jc w:val="center"/>
              <w:rPr>
                <w:sz w:val="20"/>
                <w:szCs w:val="20"/>
              </w:rPr>
            </w:pPr>
          </w:p>
          <w:p>
            <w:pPr>
              <w:spacing w:line="240" w:lineRule="exact"/>
              <w:ind w:firstLine="200" w:firstLineChars="100"/>
              <w:jc w:val="center"/>
              <w:rPr>
                <w:sz w:val="20"/>
                <w:szCs w:val="20"/>
              </w:rPr>
            </w:pPr>
          </w:p>
          <w:p>
            <w:pPr>
              <w:spacing w:line="240" w:lineRule="exact"/>
              <w:rPr>
                <w:rFonts w:hint="eastAsia"/>
                <w:sz w:val="20"/>
                <w:szCs w:val="20"/>
                <w:lang w:val="en-US" w:eastAsia="zh-CN"/>
              </w:rPr>
            </w:pPr>
          </w:p>
          <w:p>
            <w:pPr>
              <w:spacing w:line="240" w:lineRule="exact"/>
              <w:rPr>
                <w:rFonts w:hint="eastAsia"/>
                <w:sz w:val="20"/>
                <w:szCs w:val="20"/>
                <w:lang w:val="en-US" w:eastAsia="zh-CN"/>
              </w:rPr>
            </w:pPr>
          </w:p>
          <w:p>
            <w:pPr>
              <w:spacing w:line="240" w:lineRule="exact"/>
              <w:ind w:firstLine="200" w:firstLineChars="100"/>
              <w:rPr>
                <w:rFonts w:hint="default" w:eastAsia="宋体"/>
                <w:sz w:val="20"/>
                <w:szCs w:val="20"/>
                <w:lang w:val="en-US" w:eastAsia="zh-CN"/>
              </w:rPr>
            </w:pPr>
            <w:r>
              <w:rPr>
                <w:rFonts w:hint="eastAsia"/>
                <w:sz w:val="20"/>
                <w:szCs w:val="20"/>
                <w:lang w:val="en-US" w:eastAsia="zh-CN"/>
              </w:rPr>
              <w:t>总务处</w:t>
            </w:r>
          </w:p>
          <w:p>
            <w:pPr>
              <w:spacing w:line="240" w:lineRule="exact"/>
              <w:ind w:firstLine="200" w:firstLineChars="100"/>
              <w:jc w:val="center"/>
              <w:rPr>
                <w:sz w:val="20"/>
                <w:szCs w:val="20"/>
              </w:rPr>
            </w:pPr>
          </w:p>
        </w:tc>
        <w:tc>
          <w:tcPr>
            <w:tcW w:w="850" w:type="dxa"/>
            <w:vAlign w:val="center"/>
          </w:tcPr>
          <w:p>
            <w:pPr>
              <w:spacing w:line="260" w:lineRule="exact"/>
              <w:jc w:val="cente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785"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2.1.2 全面参与</w:t>
            </w:r>
            <w:r>
              <w:rPr>
                <w:rFonts w:hint="eastAsia"/>
                <w:color w:val="000000"/>
                <w:sz w:val="20"/>
                <w:szCs w:val="20"/>
              </w:rPr>
              <w:t>省校</w:t>
            </w:r>
            <w:r>
              <w:rPr>
                <w:sz w:val="20"/>
                <w:szCs w:val="20"/>
              </w:rPr>
              <w:t>开展的相关教学工作（10分）</w:t>
            </w:r>
          </w:p>
        </w:tc>
        <w:tc>
          <w:tcPr>
            <w:tcW w:w="3544" w:type="dxa"/>
            <w:vAlign w:val="center"/>
          </w:tcPr>
          <w:p>
            <w:pPr>
              <w:spacing w:line="260" w:lineRule="exact"/>
              <w:rPr>
                <w:color w:val="000000"/>
                <w:sz w:val="20"/>
                <w:szCs w:val="20"/>
              </w:rPr>
            </w:pPr>
            <w:r>
              <w:rPr>
                <w:color w:val="000000"/>
                <w:sz w:val="20"/>
                <w:szCs w:val="20"/>
              </w:rPr>
              <w:t>参与</w:t>
            </w:r>
            <w:r>
              <w:rPr>
                <w:rFonts w:hint="eastAsia"/>
                <w:color w:val="000000"/>
                <w:sz w:val="20"/>
                <w:szCs w:val="20"/>
              </w:rPr>
              <w:t>省校</w:t>
            </w:r>
            <w:r>
              <w:rPr>
                <w:color w:val="000000"/>
                <w:sz w:val="20"/>
                <w:szCs w:val="20"/>
              </w:rPr>
              <w:t>开展的相关教学工作的情况（10分）</w:t>
            </w:r>
          </w:p>
        </w:tc>
        <w:tc>
          <w:tcPr>
            <w:tcW w:w="2410" w:type="dxa"/>
            <w:vAlign w:val="center"/>
          </w:tcPr>
          <w:p>
            <w:pPr>
              <w:spacing w:line="260" w:lineRule="exact"/>
              <w:rPr>
                <w:sz w:val="20"/>
                <w:szCs w:val="20"/>
              </w:rPr>
            </w:pPr>
            <w:r>
              <w:rPr>
                <w:b/>
                <w:sz w:val="20"/>
                <w:szCs w:val="20"/>
              </w:rPr>
              <w:t>关注参与度</w:t>
            </w:r>
            <w:r>
              <w:rPr>
                <w:sz w:val="20"/>
                <w:szCs w:val="20"/>
              </w:rPr>
              <w:t>（如参与人数、参与试点项目/工作）、取得效果及政策支持等。</w:t>
            </w:r>
          </w:p>
        </w:tc>
        <w:tc>
          <w:tcPr>
            <w:tcW w:w="1134" w:type="dxa"/>
            <w:vMerge w:val="continue"/>
            <w:vAlign w:val="center"/>
          </w:tcPr>
          <w:p>
            <w:pPr>
              <w:spacing w:line="240" w:lineRule="exact"/>
              <w:ind w:firstLine="201" w:firstLineChars="100"/>
              <w:jc w:val="center"/>
              <w:rPr>
                <w:b/>
                <w:sz w:val="20"/>
                <w:szCs w:val="20"/>
              </w:rPr>
            </w:pPr>
          </w:p>
        </w:tc>
        <w:tc>
          <w:tcPr>
            <w:tcW w:w="850" w:type="dxa"/>
            <w:vAlign w:val="center"/>
          </w:tcPr>
          <w:p>
            <w:pPr>
              <w:spacing w:line="240" w:lineRule="exact"/>
              <w:ind w:firstLine="201" w:firstLineChars="100"/>
              <w:jc w:val="cente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restart"/>
            <w:vAlign w:val="center"/>
          </w:tcPr>
          <w:p>
            <w:pPr>
              <w:spacing w:line="260" w:lineRule="exact"/>
              <w:jc w:val="center"/>
              <w:rPr>
                <w:sz w:val="20"/>
                <w:szCs w:val="20"/>
              </w:rPr>
            </w:pPr>
            <w:r>
              <w:rPr>
                <w:sz w:val="20"/>
                <w:szCs w:val="20"/>
              </w:rPr>
              <w:t>2</w:t>
            </w:r>
            <w:r>
              <w:rPr>
                <w:rFonts w:hint="eastAsia"/>
                <w:sz w:val="20"/>
                <w:szCs w:val="20"/>
              </w:rPr>
              <w:t>．</w:t>
            </w:r>
            <w:r>
              <w:rPr>
                <w:sz w:val="20"/>
                <w:szCs w:val="20"/>
              </w:rPr>
              <w:t>体系办学</w:t>
            </w:r>
          </w:p>
          <w:p>
            <w:pPr>
              <w:spacing w:line="260" w:lineRule="exact"/>
              <w:jc w:val="center"/>
              <w:rPr>
                <w:sz w:val="20"/>
                <w:szCs w:val="20"/>
              </w:rPr>
            </w:pPr>
            <w:r>
              <w:rPr>
                <w:rFonts w:hint="eastAsia" w:ascii="宋体" w:hAnsi="宋体"/>
                <w:sz w:val="20"/>
                <w:szCs w:val="20"/>
              </w:rPr>
              <w:t>(</w:t>
            </w:r>
            <w:r>
              <w:rPr>
                <w:sz w:val="20"/>
                <w:szCs w:val="20"/>
              </w:rPr>
              <w:t>120分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 xml:space="preserve">2.2 </w:t>
            </w:r>
            <w:r>
              <w:rPr>
                <w:rFonts w:hint="eastAsia"/>
                <w:sz w:val="20"/>
                <w:szCs w:val="20"/>
              </w:rPr>
              <w:t>分校</w:t>
            </w:r>
            <w:r>
              <w:rPr>
                <w:sz w:val="20"/>
                <w:szCs w:val="20"/>
              </w:rPr>
              <w:t>统筹</w:t>
            </w:r>
            <w:r>
              <w:rPr>
                <w:rFonts w:hint="eastAsia"/>
                <w:sz w:val="20"/>
                <w:szCs w:val="20"/>
              </w:rPr>
              <w:t>所辖教学点的办学及其</w:t>
            </w:r>
            <w:r>
              <w:rPr>
                <w:sz w:val="20"/>
                <w:szCs w:val="20"/>
              </w:rPr>
              <w:t>体系建设（70分）</w:t>
            </w:r>
          </w:p>
        </w:tc>
        <w:tc>
          <w:tcPr>
            <w:tcW w:w="2951" w:type="dxa"/>
            <w:vAlign w:val="center"/>
          </w:tcPr>
          <w:p>
            <w:pPr>
              <w:spacing w:line="240" w:lineRule="exact"/>
              <w:rPr>
                <w:sz w:val="20"/>
                <w:szCs w:val="20"/>
              </w:rPr>
            </w:pPr>
            <w:r>
              <w:rPr>
                <w:sz w:val="20"/>
                <w:szCs w:val="20"/>
              </w:rPr>
              <w:t xml:space="preserve">2.2.1 </w:t>
            </w:r>
            <w:r>
              <w:rPr>
                <w:rFonts w:hint="eastAsia"/>
                <w:sz w:val="20"/>
                <w:szCs w:val="20"/>
              </w:rPr>
              <w:t>分校及所辖各教学点</w:t>
            </w:r>
            <w:r>
              <w:rPr>
                <w:sz w:val="20"/>
                <w:szCs w:val="20"/>
              </w:rPr>
              <w:t>办学职责明晰，各级合作办学协议合法有效（10分）</w:t>
            </w:r>
          </w:p>
        </w:tc>
        <w:tc>
          <w:tcPr>
            <w:tcW w:w="3544" w:type="dxa"/>
            <w:vAlign w:val="center"/>
          </w:tcPr>
          <w:p>
            <w:pPr>
              <w:spacing w:line="240" w:lineRule="exact"/>
              <w:rPr>
                <w:color w:val="000000"/>
                <w:sz w:val="20"/>
                <w:szCs w:val="20"/>
              </w:rPr>
            </w:pPr>
            <w:r>
              <w:rPr>
                <w:color w:val="000000"/>
                <w:sz w:val="20"/>
                <w:szCs w:val="20"/>
              </w:rPr>
              <w:t>（1）</w:t>
            </w:r>
            <w:r>
              <w:rPr>
                <w:rFonts w:hint="eastAsia"/>
                <w:sz w:val="20"/>
                <w:szCs w:val="20"/>
              </w:rPr>
              <w:t>分校及所辖各教学点</w:t>
            </w:r>
            <w:r>
              <w:rPr>
                <w:color w:val="000000"/>
                <w:sz w:val="20"/>
                <w:szCs w:val="20"/>
              </w:rPr>
              <w:t>对办学定位及职责的明确程度，责任分工的明晰程度（6分）</w:t>
            </w:r>
          </w:p>
          <w:p>
            <w:pPr>
              <w:spacing w:line="240" w:lineRule="exact"/>
              <w:rPr>
                <w:color w:val="000000"/>
                <w:sz w:val="20"/>
                <w:szCs w:val="20"/>
              </w:rPr>
            </w:pPr>
            <w:r>
              <w:rPr>
                <w:color w:val="000000"/>
                <w:sz w:val="20"/>
                <w:szCs w:val="20"/>
              </w:rPr>
              <w:t>（2）各级合作办学协议完备、合法，条款清晰，职责明确（4分）</w:t>
            </w:r>
          </w:p>
        </w:tc>
        <w:tc>
          <w:tcPr>
            <w:tcW w:w="2410" w:type="dxa"/>
            <w:vAlign w:val="center"/>
          </w:tcPr>
          <w:p>
            <w:pPr>
              <w:spacing w:line="240" w:lineRule="exact"/>
              <w:rPr>
                <w:sz w:val="20"/>
                <w:szCs w:val="20"/>
              </w:rPr>
            </w:pPr>
            <w:r>
              <w:rPr>
                <w:sz w:val="20"/>
                <w:szCs w:val="20"/>
              </w:rPr>
              <w:t>协议合法合规，分工明确。</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sz w:val="20"/>
                <w:szCs w:val="20"/>
              </w:rPr>
              <w:t xml:space="preserve">2.2.2 </w:t>
            </w:r>
            <w:r>
              <w:rPr>
                <w:rFonts w:hint="eastAsia"/>
                <w:sz w:val="20"/>
                <w:szCs w:val="20"/>
              </w:rPr>
              <w:t>分校及所辖各教学点</w:t>
            </w:r>
            <w:r>
              <w:rPr>
                <w:sz w:val="20"/>
                <w:szCs w:val="20"/>
              </w:rPr>
              <w:t>布局、人员配备及职责分工与办学的规模、结构、质量要求相适应（25分）</w:t>
            </w:r>
          </w:p>
        </w:tc>
        <w:tc>
          <w:tcPr>
            <w:tcW w:w="3544" w:type="dxa"/>
            <w:vAlign w:val="center"/>
          </w:tcPr>
          <w:p>
            <w:pPr>
              <w:spacing w:line="240" w:lineRule="exact"/>
              <w:rPr>
                <w:color w:val="000000"/>
                <w:sz w:val="20"/>
                <w:szCs w:val="20"/>
              </w:rPr>
            </w:pPr>
            <w:r>
              <w:rPr>
                <w:color w:val="000000"/>
                <w:sz w:val="20"/>
                <w:szCs w:val="20"/>
              </w:rPr>
              <w:t>（1）</w:t>
            </w:r>
            <w:r>
              <w:rPr>
                <w:rFonts w:hint="eastAsia"/>
                <w:sz w:val="20"/>
                <w:szCs w:val="20"/>
              </w:rPr>
              <w:t>分校及所辖各教学点</w:t>
            </w:r>
            <w:r>
              <w:rPr>
                <w:color w:val="000000"/>
                <w:sz w:val="20"/>
                <w:szCs w:val="20"/>
              </w:rPr>
              <w:t>布局、工作职责分配的科学合理程度及落实情况（14分）</w:t>
            </w:r>
          </w:p>
          <w:p>
            <w:pPr>
              <w:spacing w:line="240" w:lineRule="exact"/>
              <w:rPr>
                <w:color w:val="000000"/>
                <w:sz w:val="20"/>
                <w:szCs w:val="20"/>
              </w:rPr>
            </w:pPr>
            <w:r>
              <w:rPr>
                <w:color w:val="000000"/>
                <w:sz w:val="20"/>
                <w:szCs w:val="20"/>
              </w:rPr>
              <w:t>（2）</w:t>
            </w:r>
            <w:r>
              <w:rPr>
                <w:rFonts w:hint="eastAsia"/>
                <w:sz w:val="20"/>
                <w:szCs w:val="20"/>
              </w:rPr>
              <w:t>分校及所辖各教学点</w:t>
            </w:r>
            <w:r>
              <w:rPr>
                <w:color w:val="000000"/>
                <w:sz w:val="20"/>
                <w:szCs w:val="20"/>
              </w:rPr>
              <w:t>人员配备与办学质量要求相适应的情况</w:t>
            </w:r>
            <w:r>
              <w:rPr>
                <w:rFonts w:hint="eastAsia"/>
                <w:color w:val="000000"/>
                <w:sz w:val="20"/>
                <w:szCs w:val="20"/>
              </w:rPr>
              <w:t>以及</w:t>
            </w:r>
            <w:r>
              <w:rPr>
                <w:color w:val="000000"/>
                <w:sz w:val="20"/>
                <w:szCs w:val="20"/>
              </w:rPr>
              <w:t>责任落实情况（7分）</w:t>
            </w:r>
          </w:p>
          <w:p>
            <w:pPr>
              <w:spacing w:line="240" w:lineRule="exact"/>
              <w:rPr>
                <w:color w:val="000000"/>
                <w:sz w:val="20"/>
                <w:szCs w:val="20"/>
              </w:rPr>
            </w:pPr>
            <w:r>
              <w:rPr>
                <w:color w:val="000000"/>
                <w:sz w:val="20"/>
                <w:szCs w:val="20"/>
              </w:rPr>
              <w:t>（3）办学的规模、结构、质量相适应的情况（4分）</w:t>
            </w:r>
          </w:p>
        </w:tc>
        <w:tc>
          <w:tcPr>
            <w:tcW w:w="2410" w:type="dxa"/>
            <w:vAlign w:val="center"/>
          </w:tcPr>
          <w:p>
            <w:pPr>
              <w:spacing w:line="240" w:lineRule="exact"/>
              <w:rPr>
                <w:sz w:val="20"/>
                <w:szCs w:val="20"/>
              </w:rPr>
            </w:pPr>
            <w:r>
              <w:rPr>
                <w:sz w:val="20"/>
                <w:szCs w:val="20"/>
              </w:rPr>
              <w:t>从区域位置和办学单位特色考量办学布局的科学合理性，从办学效果和对</w:t>
            </w:r>
            <w:r>
              <w:rPr>
                <w:rFonts w:hint="eastAsia"/>
                <w:color w:val="000000"/>
                <w:sz w:val="20"/>
                <w:szCs w:val="20"/>
              </w:rPr>
              <w:t>省校</w:t>
            </w:r>
            <w:r>
              <w:rPr>
                <w:sz w:val="20"/>
                <w:szCs w:val="20"/>
              </w:rPr>
              <w:t>要求贯彻执行的支撑和效果看落实情况；同时各级领导各岗位人员对质量的重视意识、相关工作人员配备（含专兼职教师、督导员队伍）以及落实效果、招生规模、教学落实、质量呈现等是否匹配。</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sz w:val="20"/>
                <w:szCs w:val="20"/>
              </w:rPr>
              <w:t xml:space="preserve">2.2.3 </w:t>
            </w:r>
            <w:r>
              <w:rPr>
                <w:rFonts w:hint="eastAsia"/>
                <w:sz w:val="20"/>
                <w:szCs w:val="20"/>
              </w:rPr>
              <w:t>分校对所辖教学点</w:t>
            </w:r>
            <w:r>
              <w:rPr>
                <w:sz w:val="20"/>
                <w:szCs w:val="20"/>
              </w:rPr>
              <w:t>进行有效业务指导，对教学相关工作有任务要求、有数据考核、有奖惩措施（20分）</w:t>
            </w:r>
          </w:p>
        </w:tc>
        <w:tc>
          <w:tcPr>
            <w:tcW w:w="3544" w:type="dxa"/>
            <w:vAlign w:val="center"/>
          </w:tcPr>
          <w:p>
            <w:pPr>
              <w:spacing w:line="24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对</w:t>
            </w:r>
            <w:r>
              <w:rPr>
                <w:rFonts w:hint="eastAsia"/>
                <w:sz w:val="20"/>
                <w:szCs w:val="20"/>
              </w:rPr>
              <w:t>所辖教学点</w:t>
            </w:r>
            <w:r>
              <w:rPr>
                <w:color w:val="000000"/>
                <w:sz w:val="20"/>
                <w:szCs w:val="20"/>
              </w:rPr>
              <w:t>的业务开展进行有效指导的情况（10分）</w:t>
            </w:r>
          </w:p>
          <w:p>
            <w:pPr>
              <w:spacing w:line="240" w:lineRule="exact"/>
              <w:rPr>
                <w:color w:val="000000"/>
                <w:sz w:val="20"/>
                <w:szCs w:val="20"/>
              </w:rPr>
            </w:pPr>
            <w:r>
              <w:rPr>
                <w:color w:val="000000"/>
                <w:sz w:val="20"/>
                <w:szCs w:val="20"/>
              </w:rPr>
              <w:t>（2）</w:t>
            </w:r>
            <w:r>
              <w:rPr>
                <w:rFonts w:hint="eastAsia"/>
                <w:color w:val="000000"/>
                <w:sz w:val="20"/>
                <w:szCs w:val="20"/>
              </w:rPr>
              <w:t>分校</w:t>
            </w:r>
            <w:r>
              <w:rPr>
                <w:color w:val="000000"/>
                <w:sz w:val="20"/>
                <w:szCs w:val="20"/>
              </w:rPr>
              <w:t>对</w:t>
            </w:r>
            <w:r>
              <w:rPr>
                <w:rFonts w:hint="eastAsia"/>
                <w:sz w:val="20"/>
                <w:szCs w:val="20"/>
              </w:rPr>
              <w:t>所辖教学点</w:t>
            </w:r>
            <w:r>
              <w:rPr>
                <w:color w:val="000000"/>
                <w:sz w:val="20"/>
                <w:szCs w:val="20"/>
              </w:rPr>
              <w:t>的教学相关工作明确任务要求、考核指标和奖惩措施的情况（10分）</w:t>
            </w:r>
          </w:p>
        </w:tc>
        <w:tc>
          <w:tcPr>
            <w:tcW w:w="2410" w:type="dxa"/>
            <w:vAlign w:val="center"/>
          </w:tcPr>
          <w:p>
            <w:pPr>
              <w:spacing w:line="240" w:lineRule="exact"/>
              <w:rPr>
                <w:sz w:val="20"/>
                <w:szCs w:val="20"/>
              </w:rPr>
            </w:pPr>
            <w:r>
              <w:rPr>
                <w:sz w:val="20"/>
                <w:szCs w:val="20"/>
              </w:rPr>
              <w:t>考查</w:t>
            </w:r>
            <w:r>
              <w:rPr>
                <w:rFonts w:hint="eastAsia"/>
                <w:sz w:val="20"/>
                <w:szCs w:val="20"/>
              </w:rPr>
              <w:t>分校</w:t>
            </w:r>
            <w:r>
              <w:rPr>
                <w:sz w:val="20"/>
                <w:szCs w:val="20"/>
              </w:rPr>
              <w:t>统筹办学的能力、管办职责的落实和效果（政策、制度、指导痕迹、统筹的措施和效果等）。</w:t>
            </w:r>
          </w:p>
        </w:tc>
        <w:tc>
          <w:tcPr>
            <w:tcW w:w="1134" w:type="dxa"/>
            <w:vMerge w:val="continue"/>
            <w:vAlign w:val="center"/>
          </w:tcPr>
          <w:p>
            <w:pPr>
              <w:spacing w:line="240" w:lineRule="exact"/>
              <w:jc w:val="center"/>
              <w:rPr>
                <w:sz w:val="20"/>
                <w:szCs w:val="20"/>
              </w:rPr>
            </w:pPr>
          </w:p>
        </w:tc>
        <w:tc>
          <w:tcPr>
            <w:tcW w:w="850" w:type="dxa"/>
            <w:vAlign w:val="center"/>
          </w:tcPr>
          <w:p>
            <w:pPr>
              <w:spacing w:line="24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rFonts w:hint="eastAsia"/>
                <w:sz w:val="20"/>
                <w:szCs w:val="20"/>
              </w:rPr>
              <w:t>★</w:t>
            </w:r>
            <w:r>
              <w:rPr>
                <w:sz w:val="20"/>
                <w:szCs w:val="20"/>
              </w:rPr>
              <w:t>2.2.4 在</w:t>
            </w:r>
            <w:r>
              <w:rPr>
                <w:rFonts w:hint="eastAsia"/>
                <w:color w:val="000000"/>
                <w:sz w:val="20"/>
                <w:szCs w:val="20"/>
              </w:rPr>
              <w:t>省校</w:t>
            </w:r>
            <w:r>
              <w:rPr>
                <w:sz w:val="20"/>
                <w:szCs w:val="20"/>
              </w:rPr>
              <w:t>允许的区域范围内规范办学(15分)</w:t>
            </w:r>
          </w:p>
        </w:tc>
        <w:tc>
          <w:tcPr>
            <w:tcW w:w="3544" w:type="dxa"/>
            <w:vAlign w:val="center"/>
          </w:tcPr>
          <w:p>
            <w:pPr>
              <w:spacing w:line="240" w:lineRule="exact"/>
              <w:rPr>
                <w:color w:val="000000"/>
                <w:sz w:val="20"/>
                <w:szCs w:val="20"/>
              </w:rPr>
            </w:pPr>
            <w:r>
              <w:rPr>
                <w:color w:val="000000"/>
                <w:sz w:val="20"/>
                <w:szCs w:val="20"/>
              </w:rPr>
              <w:t>（1）</w:t>
            </w:r>
            <w:r>
              <w:rPr>
                <w:rFonts w:hint="eastAsia"/>
                <w:sz w:val="20"/>
                <w:szCs w:val="20"/>
              </w:rPr>
              <w:t>分校及所辖各教学点的</w:t>
            </w:r>
            <w:r>
              <w:rPr>
                <w:color w:val="000000"/>
                <w:sz w:val="20"/>
                <w:szCs w:val="20"/>
              </w:rPr>
              <w:t>办学与</w:t>
            </w:r>
            <w:r>
              <w:rPr>
                <w:rFonts w:hint="eastAsia"/>
                <w:color w:val="000000"/>
                <w:sz w:val="20"/>
                <w:szCs w:val="20"/>
              </w:rPr>
              <w:t>省校</w:t>
            </w:r>
            <w:r>
              <w:rPr>
                <w:color w:val="000000"/>
                <w:sz w:val="20"/>
                <w:szCs w:val="20"/>
              </w:rPr>
              <w:t>允许的区域范围相符的情况（7分）</w:t>
            </w:r>
          </w:p>
          <w:p>
            <w:pPr>
              <w:spacing w:line="240" w:lineRule="exact"/>
              <w:rPr>
                <w:color w:val="000000"/>
                <w:sz w:val="20"/>
                <w:szCs w:val="20"/>
              </w:rPr>
            </w:pPr>
            <w:r>
              <w:rPr>
                <w:color w:val="000000"/>
                <w:sz w:val="20"/>
                <w:szCs w:val="20"/>
              </w:rPr>
              <w:t>（2）</w:t>
            </w:r>
            <w:r>
              <w:rPr>
                <w:rFonts w:hint="eastAsia"/>
                <w:sz w:val="20"/>
                <w:szCs w:val="20"/>
              </w:rPr>
              <w:t>分校及所辖各教学点</w:t>
            </w:r>
            <w:r>
              <w:rPr>
                <w:color w:val="000000"/>
                <w:sz w:val="20"/>
                <w:szCs w:val="20"/>
              </w:rPr>
              <w:t>的办学行为规范程度（8分）</w:t>
            </w:r>
          </w:p>
        </w:tc>
        <w:tc>
          <w:tcPr>
            <w:tcW w:w="2410" w:type="dxa"/>
            <w:vAlign w:val="center"/>
          </w:tcPr>
          <w:p>
            <w:pPr>
              <w:spacing w:line="240" w:lineRule="exact"/>
              <w:rPr>
                <w:sz w:val="20"/>
                <w:szCs w:val="20"/>
              </w:rPr>
            </w:pPr>
            <w:r>
              <w:rPr>
                <w:b/>
                <w:bCs/>
                <w:sz w:val="20"/>
                <w:szCs w:val="20"/>
              </w:rPr>
              <w:t>重点查验</w:t>
            </w:r>
            <w:r>
              <w:rPr>
                <w:rFonts w:hint="eastAsia"/>
                <w:b/>
                <w:bCs/>
                <w:sz w:val="20"/>
                <w:szCs w:val="20"/>
              </w:rPr>
              <w:t>教学点</w:t>
            </w:r>
            <w:r>
              <w:rPr>
                <w:b/>
                <w:bCs/>
                <w:sz w:val="20"/>
                <w:szCs w:val="20"/>
              </w:rPr>
              <w:t>、考点的备案地址、相关人员材料等</w:t>
            </w:r>
            <w:r>
              <w:rPr>
                <w:sz w:val="20"/>
                <w:szCs w:val="20"/>
              </w:rPr>
              <w:t>。</w:t>
            </w:r>
          </w:p>
        </w:tc>
        <w:tc>
          <w:tcPr>
            <w:tcW w:w="1134" w:type="dxa"/>
            <w:vMerge w:val="continue"/>
            <w:vAlign w:val="center"/>
          </w:tcPr>
          <w:p>
            <w:pPr>
              <w:spacing w:line="240" w:lineRule="exact"/>
              <w:jc w:val="center"/>
              <w:rPr>
                <w:sz w:val="20"/>
                <w:szCs w:val="20"/>
              </w:rPr>
            </w:pPr>
          </w:p>
        </w:tc>
        <w:tc>
          <w:tcPr>
            <w:tcW w:w="850" w:type="dxa"/>
            <w:vAlign w:val="center"/>
          </w:tcPr>
          <w:p>
            <w:pPr>
              <w:spacing w:line="24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2.3 及时缴费、规范收费（30分）</w:t>
            </w:r>
          </w:p>
        </w:tc>
        <w:tc>
          <w:tcPr>
            <w:tcW w:w="2951" w:type="dxa"/>
            <w:vAlign w:val="center"/>
          </w:tcPr>
          <w:p>
            <w:pPr>
              <w:spacing w:line="240" w:lineRule="exact"/>
              <w:rPr>
                <w:sz w:val="20"/>
                <w:szCs w:val="20"/>
              </w:rPr>
            </w:pPr>
            <w:r>
              <w:rPr>
                <w:rFonts w:hint="eastAsia"/>
                <w:sz w:val="20"/>
                <w:szCs w:val="20"/>
              </w:rPr>
              <w:t>★</w:t>
            </w:r>
            <w:r>
              <w:rPr>
                <w:sz w:val="20"/>
                <w:szCs w:val="20"/>
              </w:rPr>
              <w:t>2.3.1 按照协议及时足额向</w:t>
            </w:r>
            <w:r>
              <w:rPr>
                <w:rFonts w:hint="eastAsia"/>
                <w:color w:val="000000"/>
                <w:sz w:val="20"/>
                <w:szCs w:val="20"/>
              </w:rPr>
              <w:t>省校</w:t>
            </w:r>
            <w:r>
              <w:rPr>
                <w:sz w:val="20"/>
                <w:szCs w:val="20"/>
              </w:rPr>
              <w:t>缴纳各项费用，无拖欠学费（20分）</w:t>
            </w:r>
          </w:p>
        </w:tc>
        <w:tc>
          <w:tcPr>
            <w:tcW w:w="3544" w:type="dxa"/>
            <w:vAlign w:val="center"/>
          </w:tcPr>
          <w:p>
            <w:pPr>
              <w:spacing w:line="240" w:lineRule="exact"/>
              <w:rPr>
                <w:color w:val="000000"/>
                <w:sz w:val="20"/>
                <w:szCs w:val="20"/>
              </w:rPr>
            </w:pPr>
            <w:r>
              <w:rPr>
                <w:color w:val="000000"/>
                <w:sz w:val="20"/>
                <w:szCs w:val="20"/>
              </w:rPr>
              <w:t>按照协议向</w:t>
            </w:r>
            <w:r>
              <w:rPr>
                <w:rFonts w:hint="eastAsia"/>
                <w:color w:val="000000"/>
                <w:sz w:val="20"/>
                <w:szCs w:val="20"/>
              </w:rPr>
              <w:t>省校</w:t>
            </w:r>
            <w:r>
              <w:rPr>
                <w:color w:val="000000"/>
                <w:sz w:val="20"/>
                <w:szCs w:val="20"/>
              </w:rPr>
              <w:t>缴纳费用情况</w:t>
            </w:r>
          </w:p>
          <w:p>
            <w:pPr>
              <w:spacing w:line="240" w:lineRule="exact"/>
              <w:rPr>
                <w:color w:val="000000"/>
                <w:sz w:val="20"/>
                <w:szCs w:val="20"/>
              </w:rPr>
            </w:pPr>
            <w:r>
              <w:rPr>
                <w:color w:val="000000"/>
                <w:sz w:val="20"/>
                <w:szCs w:val="20"/>
              </w:rPr>
              <w:t>（1）无欠费，按照协议及时足额向</w:t>
            </w:r>
            <w:r>
              <w:rPr>
                <w:rFonts w:hint="eastAsia"/>
                <w:color w:val="000000"/>
                <w:sz w:val="20"/>
                <w:szCs w:val="20"/>
              </w:rPr>
              <w:t>省校</w:t>
            </w:r>
            <w:r>
              <w:rPr>
                <w:color w:val="000000"/>
                <w:sz w:val="20"/>
                <w:szCs w:val="20"/>
              </w:rPr>
              <w:t>缴纳各项费用（20分）；</w:t>
            </w:r>
          </w:p>
          <w:p>
            <w:pPr>
              <w:spacing w:line="240" w:lineRule="exact"/>
              <w:rPr>
                <w:color w:val="000000"/>
                <w:sz w:val="20"/>
                <w:szCs w:val="20"/>
              </w:rPr>
            </w:pPr>
            <w:r>
              <w:rPr>
                <w:color w:val="000000"/>
                <w:sz w:val="20"/>
                <w:szCs w:val="20"/>
              </w:rPr>
              <w:t>（2）有欠费，有清偿计划，近三年向</w:t>
            </w:r>
            <w:r>
              <w:rPr>
                <w:rFonts w:hint="eastAsia"/>
                <w:color w:val="000000"/>
                <w:sz w:val="20"/>
                <w:szCs w:val="20"/>
              </w:rPr>
              <w:t>省校</w:t>
            </w:r>
            <w:r>
              <w:rPr>
                <w:color w:val="000000"/>
                <w:sz w:val="20"/>
                <w:szCs w:val="20"/>
              </w:rPr>
              <w:t>缴纳、还款情况较好（10-19分）；</w:t>
            </w:r>
          </w:p>
          <w:p>
            <w:pPr>
              <w:spacing w:line="240" w:lineRule="exact"/>
              <w:rPr>
                <w:color w:val="000000"/>
                <w:sz w:val="20"/>
                <w:szCs w:val="20"/>
              </w:rPr>
            </w:pPr>
            <w:r>
              <w:rPr>
                <w:color w:val="000000"/>
                <w:sz w:val="20"/>
                <w:szCs w:val="20"/>
              </w:rPr>
              <w:t>（3）有欠费，无清偿计划或近三年缴费、还款不到位（0-9分）</w:t>
            </w:r>
          </w:p>
        </w:tc>
        <w:tc>
          <w:tcPr>
            <w:tcW w:w="2410" w:type="dxa"/>
            <w:vAlign w:val="center"/>
          </w:tcPr>
          <w:p>
            <w:pPr>
              <w:spacing w:line="240" w:lineRule="exact"/>
              <w:rPr>
                <w:sz w:val="20"/>
                <w:szCs w:val="20"/>
              </w:rPr>
            </w:pPr>
          </w:p>
        </w:tc>
        <w:tc>
          <w:tcPr>
            <w:tcW w:w="1134" w:type="dxa"/>
            <w:vMerge w:val="continue"/>
            <w:vAlign w:val="center"/>
          </w:tcPr>
          <w:p>
            <w:pPr>
              <w:spacing w:line="240" w:lineRule="exact"/>
              <w:jc w:val="center"/>
              <w:rPr>
                <w:sz w:val="20"/>
                <w:szCs w:val="20"/>
              </w:rPr>
            </w:pPr>
          </w:p>
        </w:tc>
        <w:tc>
          <w:tcPr>
            <w:tcW w:w="850" w:type="dxa"/>
            <w:vAlign w:val="center"/>
          </w:tcPr>
          <w:p>
            <w:pPr>
              <w:spacing w:line="24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sz w:val="20"/>
                <w:szCs w:val="20"/>
              </w:rPr>
              <w:t>2.3.2 严格执行国家有关部门的收费规定和标准，无违规收费（10分）</w:t>
            </w:r>
          </w:p>
        </w:tc>
        <w:tc>
          <w:tcPr>
            <w:tcW w:w="3544" w:type="dxa"/>
            <w:vAlign w:val="center"/>
          </w:tcPr>
          <w:p>
            <w:pPr>
              <w:spacing w:line="240" w:lineRule="exact"/>
              <w:rPr>
                <w:color w:val="000000"/>
                <w:sz w:val="20"/>
                <w:szCs w:val="20"/>
              </w:rPr>
            </w:pPr>
            <w:r>
              <w:rPr>
                <w:color w:val="000000"/>
                <w:sz w:val="20"/>
                <w:szCs w:val="20"/>
              </w:rPr>
              <w:t>严格执行国家及地方有关部门的收费规定和标准</w:t>
            </w:r>
            <w:r>
              <w:rPr>
                <w:rFonts w:hint="eastAsia"/>
                <w:color w:val="000000"/>
                <w:sz w:val="20"/>
                <w:szCs w:val="20"/>
              </w:rPr>
              <w:t>情况</w:t>
            </w:r>
            <w:r>
              <w:rPr>
                <w:color w:val="000000"/>
                <w:sz w:val="20"/>
                <w:szCs w:val="20"/>
              </w:rPr>
              <w:t>（近三年情况及趋势）（10分）</w:t>
            </w:r>
          </w:p>
        </w:tc>
        <w:tc>
          <w:tcPr>
            <w:tcW w:w="2410" w:type="dxa"/>
            <w:vAlign w:val="center"/>
          </w:tcPr>
          <w:p>
            <w:pPr>
              <w:spacing w:line="240" w:lineRule="exact"/>
              <w:rPr>
                <w:sz w:val="20"/>
                <w:szCs w:val="20"/>
              </w:rPr>
            </w:pPr>
            <w:r>
              <w:rPr>
                <w:sz w:val="20"/>
                <w:szCs w:val="20"/>
              </w:rPr>
              <w:t>评估近三年情况及趋势。依据物价部门、总部、教育部、地方教育行政部门等文件。</w:t>
            </w:r>
          </w:p>
          <w:p>
            <w:pPr>
              <w:spacing w:line="240" w:lineRule="exact"/>
              <w:rPr>
                <w:sz w:val="20"/>
                <w:szCs w:val="20"/>
              </w:rPr>
            </w:pPr>
            <w:r>
              <w:rPr>
                <w:rFonts w:hint="eastAsia"/>
                <w:sz w:val="20"/>
                <w:szCs w:val="20"/>
              </w:rPr>
              <w:t xml:space="preserve"> </w:t>
            </w:r>
          </w:p>
        </w:tc>
        <w:tc>
          <w:tcPr>
            <w:tcW w:w="1134" w:type="dxa"/>
            <w:vMerge w:val="continue"/>
            <w:vAlign w:val="center"/>
          </w:tcPr>
          <w:p>
            <w:pPr>
              <w:spacing w:line="240" w:lineRule="exact"/>
              <w:jc w:val="center"/>
              <w:rPr>
                <w:sz w:val="20"/>
                <w:szCs w:val="20"/>
              </w:rPr>
            </w:pPr>
          </w:p>
        </w:tc>
        <w:tc>
          <w:tcPr>
            <w:tcW w:w="850" w:type="dxa"/>
            <w:vAlign w:val="center"/>
          </w:tcPr>
          <w:p>
            <w:pPr>
              <w:spacing w:line="24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restart"/>
            <w:vAlign w:val="center"/>
          </w:tcPr>
          <w:p>
            <w:pPr>
              <w:spacing w:line="260" w:lineRule="exact"/>
              <w:jc w:val="center"/>
              <w:rPr>
                <w:sz w:val="20"/>
                <w:szCs w:val="20"/>
              </w:rPr>
            </w:pPr>
            <w:r>
              <w:rPr>
                <w:sz w:val="20"/>
                <w:szCs w:val="20"/>
              </w:rPr>
              <w:t>3</w:t>
            </w:r>
            <w:r>
              <w:rPr>
                <w:rFonts w:hint="eastAsia"/>
                <w:sz w:val="20"/>
                <w:szCs w:val="20"/>
              </w:rPr>
              <w:t>．</w:t>
            </w:r>
            <w:r>
              <w:rPr>
                <w:sz w:val="20"/>
                <w:szCs w:val="20"/>
              </w:rPr>
              <w:t>条件保障</w:t>
            </w:r>
          </w:p>
          <w:p>
            <w:pPr>
              <w:spacing w:line="260" w:lineRule="exact"/>
              <w:jc w:val="center"/>
              <w:rPr>
                <w:sz w:val="20"/>
                <w:szCs w:val="20"/>
              </w:rPr>
            </w:pPr>
            <w:r>
              <w:rPr>
                <w:rFonts w:hint="eastAsia" w:ascii="宋体" w:hAnsi="宋体"/>
                <w:sz w:val="20"/>
                <w:szCs w:val="20"/>
              </w:rPr>
              <w:t>(</w:t>
            </w:r>
            <w:r>
              <w:rPr>
                <w:sz w:val="20"/>
                <w:szCs w:val="20"/>
              </w:rPr>
              <w:t>290分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3.1 岗位、人员与运行（25分）</w:t>
            </w:r>
          </w:p>
        </w:tc>
        <w:tc>
          <w:tcPr>
            <w:tcW w:w="2951" w:type="dxa"/>
            <w:vAlign w:val="center"/>
          </w:tcPr>
          <w:p>
            <w:pPr>
              <w:spacing w:line="260" w:lineRule="exact"/>
              <w:rPr>
                <w:sz w:val="20"/>
                <w:szCs w:val="20"/>
              </w:rPr>
            </w:pPr>
            <w:r>
              <w:rPr>
                <w:sz w:val="20"/>
                <w:szCs w:val="20"/>
              </w:rPr>
              <w:t xml:space="preserve">3.1.1 </w:t>
            </w:r>
            <w:r>
              <w:rPr>
                <w:rFonts w:hint="eastAsia"/>
                <w:sz w:val="20"/>
                <w:szCs w:val="20"/>
              </w:rPr>
              <w:t>分校</w:t>
            </w:r>
            <w:r>
              <w:rPr>
                <w:sz w:val="20"/>
                <w:szCs w:val="20"/>
              </w:rPr>
              <w:t>对接</w:t>
            </w:r>
            <w:r>
              <w:rPr>
                <w:rFonts w:hint="eastAsia"/>
                <w:color w:val="000000"/>
                <w:sz w:val="20"/>
                <w:szCs w:val="20"/>
              </w:rPr>
              <w:t>省校</w:t>
            </w:r>
            <w:r>
              <w:rPr>
                <w:sz w:val="20"/>
                <w:szCs w:val="20"/>
              </w:rPr>
              <w:t>开放教育办学业务的部门、岗位、人员责权明晰、分工合理，教学教务管理职能相对独立、完整，落实到位（15分）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对接</w:t>
            </w:r>
            <w:r>
              <w:rPr>
                <w:rFonts w:hint="eastAsia"/>
                <w:color w:val="000000"/>
                <w:sz w:val="20"/>
                <w:szCs w:val="20"/>
              </w:rPr>
              <w:t>省校</w:t>
            </w:r>
            <w:r>
              <w:rPr>
                <w:color w:val="000000"/>
                <w:sz w:val="20"/>
                <w:szCs w:val="20"/>
              </w:rPr>
              <w:t>办学业务的部门、岗位、人员责权明晰、分工合理的情况（10分）</w:t>
            </w:r>
          </w:p>
          <w:p>
            <w:pPr>
              <w:spacing w:line="260" w:lineRule="exact"/>
              <w:rPr>
                <w:color w:val="000000"/>
                <w:sz w:val="20"/>
                <w:szCs w:val="20"/>
              </w:rPr>
            </w:pPr>
            <w:r>
              <w:rPr>
                <w:color w:val="000000"/>
                <w:sz w:val="20"/>
                <w:szCs w:val="20"/>
              </w:rPr>
              <w:t>（2）教学教务管理职能相对独立、完整，落实到位的情况（5分）</w:t>
            </w:r>
          </w:p>
        </w:tc>
        <w:tc>
          <w:tcPr>
            <w:tcW w:w="2410" w:type="dxa"/>
            <w:vAlign w:val="center"/>
          </w:tcPr>
          <w:p>
            <w:pPr>
              <w:spacing w:line="260" w:lineRule="exact"/>
              <w:rPr>
                <w:color w:val="000000"/>
                <w:sz w:val="20"/>
                <w:szCs w:val="20"/>
              </w:rPr>
            </w:pPr>
            <w:r>
              <w:rPr>
                <w:color w:val="000000"/>
                <w:sz w:val="20"/>
                <w:szCs w:val="20"/>
              </w:rPr>
              <w:t>参考依据：</w:t>
            </w:r>
            <w:r>
              <w:rPr>
                <w:rFonts w:hint="eastAsia"/>
                <w:color w:val="000000"/>
                <w:sz w:val="20"/>
                <w:szCs w:val="20"/>
              </w:rPr>
              <w:t>分校</w:t>
            </w:r>
            <w:r>
              <w:rPr>
                <w:color w:val="000000"/>
                <w:sz w:val="20"/>
                <w:szCs w:val="20"/>
              </w:rPr>
              <w:t>的机构设置方案、部门职责、人员岗位职责等，实地查看办公室标牌，通过访谈了解实际业务对接。</w:t>
            </w:r>
          </w:p>
        </w:tc>
        <w:tc>
          <w:tcPr>
            <w:tcW w:w="1134" w:type="dxa"/>
            <w:vMerge w:val="restart"/>
            <w:vAlign w:val="center"/>
          </w:tcPr>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教务处</w: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r>
              <w:rPr>
                <w:sz w:val="20"/>
              </w:rPr>
              <mc:AlternateContent>
                <mc:Choice Requires="wps">
                  <w:drawing>
                    <wp:anchor distT="0" distB="0" distL="114300" distR="114300" simplePos="0" relativeHeight="251662336" behindDoc="0" locked="0" layoutInCell="1" allowOverlap="1">
                      <wp:simplePos x="0" y="0"/>
                      <wp:positionH relativeFrom="column">
                        <wp:posOffset>-141605</wp:posOffset>
                      </wp:positionH>
                      <wp:positionV relativeFrom="paragraph">
                        <wp:posOffset>168275</wp:posOffset>
                      </wp:positionV>
                      <wp:extent cx="838200" cy="6350"/>
                      <wp:effectExtent l="0" t="0" r="0" b="0"/>
                      <wp:wrapNone/>
                      <wp:docPr id="6" name="直接连接符 6"/>
                      <wp:cNvGraphicFramePr/>
                      <a:graphic xmlns:a="http://schemas.openxmlformats.org/drawingml/2006/main">
                        <a:graphicData uri="http://schemas.microsoft.com/office/word/2010/wordprocessingShape">
                          <wps:wsp>
                            <wps:cNvCnPr/>
                            <wps:spPr>
                              <a:xfrm flipV="1">
                                <a:off x="8418195" y="4135120"/>
                                <a:ext cx="838200" cy="635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11.15pt;margin-top:13.25pt;height:0.5pt;width:66pt;z-index:251662336;mso-width-relative:page;mso-height-relative:page;" filled="f" stroked="t" coordsize="21600,21600" o:gfxdata="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VYscodcAAAAJAQAADwAAAAAAAAABACAAAAAiAAAAZHJzL2Rvd25yZXYueG1s&#10;UEsBAhQAFAAAAAgAh07iQG27IIX5AQAAyQMAAA4AAAAAAAAAAQAgAAAAJgEAAGRycy9lMm9Eb2Mu&#10;eG1sUEsFBgAAAAAGAAYAWQEAAJEFAAAAAA==&#10;">
                      <v:fill on="f" focussize="0,0"/>
                      <v:stroke weight="1pt" color="#000000" miterlimit="8" joinstyle="miter"/>
                      <v:imagedata o:title=""/>
                      <o:lock v:ext="edit" aspectratio="f"/>
                    </v:line>
                  </w:pict>
                </mc:Fallback>
              </mc:AlternateConten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eastAsia"/>
                <w:color w:val="000000"/>
                <w:sz w:val="20"/>
                <w:szCs w:val="20"/>
                <w:lang w:val="en-US" w:eastAsia="zh-CN"/>
              </w:rPr>
            </w:pPr>
          </w:p>
          <w:p>
            <w:pPr>
              <w:spacing w:line="260" w:lineRule="exact"/>
              <w:jc w:val="center"/>
              <w:rPr>
                <w:rFonts w:hint="eastAsia"/>
                <w:color w:val="000000"/>
                <w:sz w:val="20"/>
                <w:szCs w:val="20"/>
                <w:lang w:val="en-US" w:eastAsia="zh-CN"/>
              </w:rPr>
            </w:pPr>
          </w:p>
          <w:p>
            <w:pPr>
              <w:spacing w:line="260" w:lineRule="exact"/>
              <w:jc w:val="center"/>
              <w:rPr>
                <w:rFonts w:hint="eastAsia"/>
                <w:color w:val="000000"/>
                <w:sz w:val="20"/>
                <w:szCs w:val="20"/>
                <w:lang w:val="en-US" w:eastAsia="zh-CN"/>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教研处</w: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教研处</w:t>
            </w:r>
          </w:p>
          <w:p>
            <w:pPr>
              <w:spacing w:line="260" w:lineRule="exact"/>
              <w:jc w:val="center"/>
              <w:rPr>
                <w:color w:val="000000"/>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r>
              <w:rPr>
                <w:sz w:val="20"/>
              </w:rPr>
              <mc:AlternateContent>
                <mc:Choice Requires="wps">
                  <w:drawing>
                    <wp:anchor distT="0" distB="0" distL="114300" distR="114300" simplePos="0" relativeHeight="251665408" behindDoc="0" locked="0" layoutInCell="1" allowOverlap="1">
                      <wp:simplePos x="0" y="0"/>
                      <wp:positionH relativeFrom="column">
                        <wp:posOffset>-60325</wp:posOffset>
                      </wp:positionH>
                      <wp:positionV relativeFrom="paragraph">
                        <wp:posOffset>43815</wp:posOffset>
                      </wp:positionV>
                      <wp:extent cx="723900" cy="9525"/>
                      <wp:effectExtent l="0" t="6350" r="0" b="12700"/>
                      <wp:wrapNone/>
                      <wp:docPr id="9" name="直接连接符 9"/>
                      <wp:cNvGraphicFramePr/>
                      <a:graphic xmlns:a="http://schemas.openxmlformats.org/drawingml/2006/main">
                        <a:graphicData uri="http://schemas.microsoft.com/office/word/2010/wordprocessingShape">
                          <wps:wsp>
                            <wps:cNvCnPr/>
                            <wps:spPr>
                              <a:xfrm flipV="1">
                                <a:off x="8332470" y="2105660"/>
                                <a:ext cx="723900" cy="9525"/>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4.75pt;margin-top:3.45pt;height:0.75pt;width:57pt;z-index:251665408;mso-width-relative:page;mso-height-relative:page;" filled="f" stroked="t" coordsize="21600,21600" o:gfxdata="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1LmNMAAAAGAQAADwAAAAAAAAABACAAAAAiAAAAZHJzL2Rvd25yZXYueG1sUEsB&#10;AhQAFAAAAAgAh07iQDViFin6AQAAyQMAAA4AAAAAAAAAAQAgAAAAIgEAAGRycy9lMm9Eb2MueG1s&#10;UEsFBgAAAAAGAAYAWQEAAI4FAAAAAA==&#10;">
                      <v:fill on="f" focussize="0,0"/>
                      <v:stroke weight="1pt" color="#000000" miterlimit="8" joinstyle="miter"/>
                      <v:imagedata o:title=""/>
                      <o:lock v:ext="edit" aspectratio="f"/>
                    </v:line>
                  </w:pict>
                </mc:Fallback>
              </mc:AlternateConten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rFonts w:hint="default" w:eastAsia="宋体"/>
                <w:sz w:val="20"/>
                <w:szCs w:val="20"/>
                <w:lang w:val="en-US" w:eastAsia="zh-CN"/>
              </w:rPr>
            </w:pPr>
            <w:r>
              <w:rPr>
                <w:rFonts w:hint="eastAsia"/>
                <w:sz w:val="20"/>
                <w:szCs w:val="20"/>
                <w:lang w:val="en-US" w:eastAsia="zh-CN"/>
              </w:rPr>
              <w:t>总务处</w: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r>
              <w:rPr>
                <w:sz w:val="20"/>
              </w:rPr>
              <mc:AlternateContent>
                <mc:Choice Requires="wps">
                  <w:drawing>
                    <wp:anchor distT="0" distB="0" distL="114300" distR="114300" simplePos="0" relativeHeight="251663360" behindDoc="0" locked="0" layoutInCell="1" allowOverlap="1">
                      <wp:simplePos x="0" y="0"/>
                      <wp:positionH relativeFrom="column">
                        <wp:posOffset>-50800</wp:posOffset>
                      </wp:positionH>
                      <wp:positionV relativeFrom="paragraph">
                        <wp:posOffset>51435</wp:posOffset>
                      </wp:positionV>
                      <wp:extent cx="742950" cy="9525"/>
                      <wp:effectExtent l="0" t="0" r="0" b="0"/>
                      <wp:wrapNone/>
                      <wp:docPr id="7" name="直接连接符 7"/>
                      <wp:cNvGraphicFramePr/>
                      <a:graphic xmlns:a="http://schemas.openxmlformats.org/drawingml/2006/main">
                        <a:graphicData uri="http://schemas.microsoft.com/office/word/2010/wordprocessingShape">
                          <wps:wsp>
                            <wps:cNvCnPr/>
                            <wps:spPr>
                              <a:xfrm>
                                <a:off x="8284845" y="4097020"/>
                                <a:ext cx="742950" cy="9525"/>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4pt;margin-top:4.05pt;height:0.75pt;width:58.5pt;z-index:251663360;mso-width-relative:page;mso-height-relative:page;" filled="f" stroked="t" coordsize="21600,21600" o:gfxdata="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0KvC61gAAAAYBAAAPAAAAAAAAAAEAIAAAACIAAABkcnMvZG93bnJldi54bWxQSwECFAAU&#10;AAAACACHTuJA2CnLTvMBAAC/AwAADgAAAAAAAAABACAAAAAlAQAAZHJzL2Uyb0RvYy54bWxQSwUG&#10;AAAAAAYABgBZAQAAigUAAAAA&#10;">
                      <v:fill on="f" focussize="0,0"/>
                      <v:stroke weight="1pt" color="#000000" miterlimit="8" joinstyle="miter"/>
                      <v:imagedata o:title=""/>
                      <o:lock v:ext="edit" aspectratio="f"/>
                    </v:line>
                  </w:pict>
                </mc:Fallback>
              </mc:AlternateContent>
            </w:r>
          </w:p>
          <w:p>
            <w:pPr>
              <w:spacing w:line="260" w:lineRule="exact"/>
              <w:jc w:val="center"/>
              <w:rPr>
                <w:sz w:val="20"/>
                <w:szCs w:val="20"/>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default" w:eastAsia="宋体"/>
                <w:sz w:val="20"/>
                <w:szCs w:val="20"/>
                <w:lang w:val="en-US" w:eastAsia="zh-CN"/>
              </w:rPr>
            </w:pPr>
            <w:r>
              <w:rPr>
                <w:rFonts w:hint="eastAsia"/>
                <w:sz w:val="20"/>
                <w:szCs w:val="20"/>
                <w:lang w:val="en-US" w:eastAsia="zh-CN"/>
              </w:rPr>
              <w:t>信息处</w:t>
            </w:r>
          </w:p>
          <w:p>
            <w:pPr>
              <w:spacing w:line="260" w:lineRule="exact"/>
              <w:jc w:val="center"/>
              <w:rPr>
                <w:sz w:val="20"/>
                <w:szCs w:val="20"/>
              </w:rPr>
            </w:pPr>
          </w:p>
          <w:p>
            <w:pPr>
              <w:spacing w:line="260" w:lineRule="exact"/>
              <w:ind w:firstLine="200" w:firstLineChars="100"/>
              <w:jc w:val="center"/>
              <w:rPr>
                <w:color w:val="000000"/>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rFonts w:hint="default" w:eastAsia="宋体"/>
                <w:sz w:val="20"/>
                <w:szCs w:val="20"/>
                <w:lang w:val="en-US" w:eastAsia="zh-CN"/>
              </w:rPr>
            </w:pPr>
            <w:r>
              <w:rPr>
                <w:rFonts w:hint="eastAsia"/>
                <w:sz w:val="20"/>
                <w:szCs w:val="20"/>
                <w:lang w:val="en-US" w:eastAsia="zh-CN"/>
              </w:rPr>
              <w:t>信息处</w:t>
            </w:r>
          </w:p>
          <w:p>
            <w:pPr>
              <w:spacing w:line="260" w:lineRule="exact"/>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r>
              <w:rPr>
                <w:sz w:val="20"/>
              </w:rPr>
              <mc:AlternateContent>
                <mc:Choice Requires="wps">
                  <w:drawing>
                    <wp:anchor distT="0" distB="0" distL="114300" distR="114300" simplePos="0" relativeHeight="251664384" behindDoc="0" locked="0" layoutInCell="1" allowOverlap="1">
                      <wp:simplePos x="0" y="0"/>
                      <wp:positionH relativeFrom="column">
                        <wp:posOffset>-84455</wp:posOffset>
                      </wp:positionH>
                      <wp:positionV relativeFrom="paragraph">
                        <wp:posOffset>6985</wp:posOffset>
                      </wp:positionV>
                      <wp:extent cx="752475" cy="9525"/>
                      <wp:effectExtent l="0" t="6350" r="9525" b="12700"/>
                      <wp:wrapNone/>
                      <wp:docPr id="8" name="直接连接符 8"/>
                      <wp:cNvGraphicFramePr/>
                      <a:graphic xmlns:a="http://schemas.openxmlformats.org/drawingml/2006/main">
                        <a:graphicData uri="http://schemas.microsoft.com/office/word/2010/wordprocessingShape">
                          <wps:wsp>
                            <wps:cNvCnPr/>
                            <wps:spPr>
                              <a:xfrm flipV="1">
                                <a:off x="8418195" y="1748155"/>
                                <a:ext cx="752475" cy="9525"/>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6.65pt;margin-top:0.55pt;height:0.75pt;width:59.25pt;z-index:251664384;mso-width-relative:page;mso-height-relative:page;" filled="f" stroked="t" coordsize="21600,21600" o:gfxdata="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k8KJ9MAAAAHAQAADwAAAAAAAAABACAAAAAiAAAAZHJzL2Rvd25yZXYueG1sUEsB&#10;AhQAFAAAAAgAh07iQE2O60f6AQAAyQMAAA4AAAAAAAAAAQAgAAAAIgEAAGRycy9lMm9Eb2MueG1s&#10;UEsFBgAAAAAGAAYAWQEAAI4FAAAAAA==&#10;">
                      <v:fill on="f" focussize="0,0"/>
                      <v:stroke weight="1pt" color="#000000" miterlimit="8" joinstyle="miter"/>
                      <v:imagedata o:title=""/>
                      <o:lock v:ext="edit" aspectratio="f"/>
                    </v:line>
                  </w:pict>
                </mc:Fallback>
              </mc:AlternateContent>
            </w: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rFonts w:hint="default" w:eastAsia="宋体"/>
                <w:sz w:val="20"/>
                <w:szCs w:val="20"/>
                <w:lang w:val="en-US" w:eastAsia="zh-CN"/>
              </w:rPr>
            </w:pPr>
            <w:r>
              <w:rPr>
                <w:rFonts w:hint="eastAsia"/>
                <w:sz w:val="20"/>
                <w:szCs w:val="20"/>
                <w:lang w:val="en-US" w:eastAsia="zh-CN"/>
              </w:rPr>
              <w:t>教务处</w:t>
            </w: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r>
              <w:rPr>
                <w:sz w:val="20"/>
              </w:rPr>
              <mc:AlternateContent>
                <mc:Choice Requires="wps">
                  <w:drawing>
                    <wp:anchor distT="0" distB="0" distL="114300" distR="114300" simplePos="0" relativeHeight="251666432" behindDoc="0" locked="0" layoutInCell="1" allowOverlap="1">
                      <wp:simplePos x="0" y="0"/>
                      <wp:positionH relativeFrom="column">
                        <wp:posOffset>-65405</wp:posOffset>
                      </wp:positionH>
                      <wp:positionV relativeFrom="paragraph">
                        <wp:posOffset>30480</wp:posOffset>
                      </wp:positionV>
                      <wp:extent cx="790575" cy="0"/>
                      <wp:effectExtent l="0" t="6350" r="0" b="6350"/>
                      <wp:wrapNone/>
                      <wp:docPr id="10" name="直接连接符 10"/>
                      <wp:cNvGraphicFramePr/>
                      <a:graphic xmlns:a="http://schemas.openxmlformats.org/drawingml/2006/main">
                        <a:graphicData uri="http://schemas.microsoft.com/office/word/2010/wordprocessingShape">
                          <wps:wsp>
                            <wps:cNvCnPr/>
                            <wps:spPr>
                              <a:xfrm>
                                <a:off x="8332470" y="3073400"/>
                                <a:ext cx="790575"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5.15pt;margin-top:2.4pt;height:0pt;width:62.25pt;z-index:251666432;mso-width-relative:page;mso-height-relative:page;" filled="f" stroked="t" coordsize="21600,21600" o:gfxdata="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vsNQ7WAAAABwEAAA8AAAAAAAAAAQAgAAAAIgAAAGRycy9kb3ducmV2LnhtbFBLAQIUABQA&#10;AAAIAIdO4kB4kCy98gEAAL4DAAAOAAAAAAAAAAEAIAAAACUBAABkcnMvZTJvRG9jLnhtbFBLBQYA&#10;AAAABgAGAFkBAACJBQAAAAA=&#10;">
                      <v:fill on="f" focussize="0,0"/>
                      <v:stroke weight="1pt" color="#000000" miterlimit="8" joinstyle="miter"/>
                      <v:imagedata o:title=""/>
                      <o:lock v:ext="edit" aspectratio="f"/>
                    </v:line>
                  </w:pict>
                </mc:Fallback>
              </mc:AlternateContent>
            </w: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sz w:val="20"/>
                <w:szCs w:val="20"/>
              </w:rPr>
            </w:pPr>
          </w:p>
          <w:p>
            <w:pPr>
              <w:spacing w:line="260" w:lineRule="exact"/>
              <w:ind w:firstLine="200" w:firstLineChars="100"/>
              <w:jc w:val="center"/>
              <w:rPr>
                <w:rFonts w:hint="default" w:eastAsia="宋体"/>
                <w:color w:val="000000"/>
                <w:sz w:val="20"/>
                <w:szCs w:val="20"/>
                <w:lang w:val="en-US" w:eastAsia="zh-CN"/>
              </w:rPr>
            </w:pPr>
            <w:r>
              <w:rPr>
                <w:rFonts w:hint="eastAsia"/>
                <w:color w:val="000000"/>
                <w:sz w:val="20"/>
                <w:szCs w:val="20"/>
                <w:lang w:val="en-US" w:eastAsia="zh-CN"/>
              </w:rPr>
              <w:t>教研处</w:t>
            </w: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 xml:space="preserve">3.1.2 </w:t>
            </w:r>
            <w:r>
              <w:rPr>
                <w:rFonts w:hint="eastAsia"/>
                <w:sz w:val="20"/>
                <w:szCs w:val="20"/>
              </w:rPr>
              <w:t>分校</w:t>
            </w:r>
            <w:r>
              <w:rPr>
                <w:sz w:val="20"/>
                <w:szCs w:val="20"/>
              </w:rPr>
              <w:t>的教学教务部门业务相对独立，其他工作有专职专岗人员负责；</w:t>
            </w:r>
            <w:r>
              <w:rPr>
                <w:rFonts w:hint="eastAsia"/>
                <w:sz w:val="20"/>
                <w:szCs w:val="20"/>
              </w:rPr>
              <w:t>教学点</w:t>
            </w:r>
            <w:r>
              <w:rPr>
                <w:sz w:val="20"/>
                <w:szCs w:val="20"/>
              </w:rPr>
              <w:t>的招生、教务管理、学生管理、考试等工作有明确人员分工负责（10分）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的教学教务部门业务相对独立，其他工作有专职专岗人员负责（5分）</w:t>
            </w:r>
          </w:p>
          <w:p>
            <w:pPr>
              <w:spacing w:line="260" w:lineRule="exact"/>
              <w:rPr>
                <w:color w:val="000000"/>
                <w:sz w:val="20"/>
                <w:szCs w:val="20"/>
              </w:rPr>
            </w:pPr>
            <w:r>
              <w:rPr>
                <w:color w:val="000000"/>
                <w:sz w:val="20"/>
                <w:szCs w:val="20"/>
              </w:rPr>
              <w:t>（2）</w:t>
            </w:r>
            <w:r>
              <w:rPr>
                <w:rFonts w:hint="eastAsia"/>
                <w:color w:val="000000"/>
                <w:sz w:val="20"/>
                <w:szCs w:val="20"/>
              </w:rPr>
              <w:t>教学点</w:t>
            </w:r>
            <w:r>
              <w:rPr>
                <w:color w:val="000000"/>
                <w:sz w:val="20"/>
                <w:szCs w:val="20"/>
              </w:rPr>
              <w:t>的招生、教务管理、学生管理、考试等工作有明确人员分工负责（5分）</w:t>
            </w:r>
          </w:p>
        </w:tc>
        <w:tc>
          <w:tcPr>
            <w:tcW w:w="2410" w:type="dxa"/>
            <w:vAlign w:val="center"/>
          </w:tcPr>
          <w:p>
            <w:pPr>
              <w:spacing w:line="260" w:lineRule="exact"/>
              <w:rPr>
                <w:color w:val="000000"/>
                <w:sz w:val="20"/>
                <w:szCs w:val="20"/>
              </w:rPr>
            </w:pPr>
            <w:r>
              <w:rPr>
                <w:color w:val="000000"/>
                <w:sz w:val="20"/>
                <w:szCs w:val="20"/>
              </w:rPr>
              <w:t>参考依据：</w:t>
            </w:r>
            <w:r>
              <w:rPr>
                <w:rFonts w:hint="eastAsia"/>
                <w:color w:val="000000"/>
                <w:sz w:val="20"/>
                <w:szCs w:val="20"/>
              </w:rPr>
              <w:t>分校</w:t>
            </w:r>
            <w:r>
              <w:rPr>
                <w:color w:val="000000"/>
                <w:sz w:val="20"/>
                <w:szCs w:val="20"/>
              </w:rPr>
              <w:t>的机构设置方案、部门职责、人员岗位职责等，实地查看办公室标牌，通过访谈了解实际业务对接。</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3.2 师资等人员配备（50分）</w:t>
            </w:r>
          </w:p>
        </w:tc>
        <w:tc>
          <w:tcPr>
            <w:tcW w:w="2951" w:type="dxa"/>
            <w:vAlign w:val="center"/>
          </w:tcPr>
          <w:p>
            <w:pPr>
              <w:spacing w:line="260" w:lineRule="exact"/>
              <w:rPr>
                <w:sz w:val="20"/>
                <w:szCs w:val="20"/>
              </w:rPr>
            </w:pPr>
            <w:r>
              <w:rPr>
                <w:sz w:val="20"/>
                <w:szCs w:val="20"/>
              </w:rPr>
              <w:t>3.2.1生师比合理（30分）</w:t>
            </w:r>
          </w:p>
        </w:tc>
        <w:tc>
          <w:tcPr>
            <w:tcW w:w="3544" w:type="dxa"/>
            <w:vAlign w:val="center"/>
          </w:tcPr>
          <w:p>
            <w:pPr>
              <w:spacing w:line="260" w:lineRule="exact"/>
              <w:rPr>
                <w:color w:val="000000"/>
                <w:sz w:val="20"/>
                <w:szCs w:val="20"/>
              </w:rPr>
            </w:pPr>
            <w:r>
              <w:rPr>
                <w:color w:val="000000"/>
                <w:sz w:val="20"/>
                <w:szCs w:val="20"/>
              </w:rPr>
              <w:t>（1）以在岗在编教师计算的生师比</w:t>
            </w:r>
            <w:r>
              <w:rPr>
                <w:rFonts w:hint="eastAsia"/>
                <w:color w:val="000000"/>
                <w:sz w:val="20"/>
                <w:szCs w:val="20"/>
              </w:rPr>
              <w:t>＜</w:t>
            </w:r>
            <w:r>
              <w:rPr>
                <w:color w:val="000000"/>
                <w:sz w:val="20"/>
                <w:szCs w:val="20"/>
              </w:rPr>
              <w:t>=50:1（30分）</w:t>
            </w:r>
            <w:r>
              <w:rPr>
                <w:rFonts w:hint="eastAsia"/>
                <w:color w:val="000000"/>
                <w:sz w:val="20"/>
                <w:szCs w:val="20"/>
              </w:rPr>
              <w:t>，</w:t>
            </w:r>
            <w:r>
              <w:rPr>
                <w:color w:val="000000"/>
                <w:sz w:val="20"/>
                <w:szCs w:val="20"/>
              </w:rPr>
              <w:t>50:1</w:t>
            </w:r>
            <w:r>
              <w:rPr>
                <w:rFonts w:hint="eastAsia"/>
                <w:color w:val="000000"/>
                <w:sz w:val="20"/>
                <w:szCs w:val="20"/>
              </w:rPr>
              <w:t>＜</w:t>
            </w:r>
            <w:r>
              <w:rPr>
                <w:color w:val="000000"/>
                <w:sz w:val="20"/>
                <w:szCs w:val="20"/>
              </w:rPr>
              <w:t>生师比</w:t>
            </w:r>
            <w:r>
              <w:rPr>
                <w:rFonts w:hint="eastAsia"/>
                <w:color w:val="000000"/>
                <w:sz w:val="20"/>
                <w:szCs w:val="20"/>
              </w:rPr>
              <w:t>＜</w:t>
            </w:r>
            <w:r>
              <w:rPr>
                <w:color w:val="000000"/>
                <w:sz w:val="20"/>
                <w:szCs w:val="20"/>
              </w:rPr>
              <w:t>=100:1（24-29分）；</w:t>
            </w:r>
          </w:p>
          <w:p>
            <w:pPr>
              <w:spacing w:line="260" w:lineRule="exact"/>
              <w:rPr>
                <w:color w:val="000000"/>
                <w:sz w:val="20"/>
                <w:szCs w:val="20"/>
              </w:rPr>
            </w:pPr>
            <w:r>
              <w:rPr>
                <w:color w:val="000000"/>
                <w:sz w:val="20"/>
                <w:szCs w:val="20"/>
              </w:rPr>
              <w:t>（2）以专兼职教师计算的生师比</w:t>
            </w:r>
            <w:r>
              <w:rPr>
                <w:rFonts w:hint="eastAsia"/>
                <w:color w:val="000000"/>
                <w:sz w:val="20"/>
                <w:szCs w:val="20"/>
              </w:rPr>
              <w:t>＜</w:t>
            </w:r>
            <w:r>
              <w:rPr>
                <w:color w:val="000000"/>
                <w:sz w:val="20"/>
                <w:szCs w:val="20"/>
              </w:rPr>
              <w:t>=50:1（19-23分）</w:t>
            </w:r>
            <w:r>
              <w:rPr>
                <w:rFonts w:hint="eastAsia"/>
                <w:color w:val="000000"/>
                <w:sz w:val="20"/>
                <w:szCs w:val="20"/>
              </w:rPr>
              <w:t>，</w:t>
            </w:r>
            <w:r>
              <w:rPr>
                <w:color w:val="000000"/>
                <w:sz w:val="20"/>
                <w:szCs w:val="20"/>
              </w:rPr>
              <w:t>50:1</w:t>
            </w:r>
            <w:r>
              <w:rPr>
                <w:rFonts w:hint="eastAsia"/>
                <w:color w:val="000000"/>
                <w:sz w:val="20"/>
                <w:szCs w:val="20"/>
              </w:rPr>
              <w:t>＜</w:t>
            </w:r>
            <w:r>
              <w:rPr>
                <w:color w:val="000000"/>
                <w:sz w:val="20"/>
                <w:szCs w:val="20"/>
              </w:rPr>
              <w:t>生师比</w:t>
            </w:r>
            <w:r>
              <w:rPr>
                <w:rFonts w:hint="eastAsia"/>
                <w:color w:val="000000"/>
                <w:sz w:val="20"/>
                <w:szCs w:val="20"/>
              </w:rPr>
              <w:t>＜</w:t>
            </w:r>
            <w:r>
              <w:rPr>
                <w:color w:val="000000"/>
                <w:sz w:val="20"/>
                <w:szCs w:val="20"/>
              </w:rPr>
              <w:t>=100:1（11-18分）</w:t>
            </w:r>
          </w:p>
        </w:tc>
        <w:tc>
          <w:tcPr>
            <w:tcW w:w="2410" w:type="dxa"/>
            <w:vAlign w:val="center"/>
          </w:tcPr>
          <w:p>
            <w:pPr>
              <w:spacing w:line="260" w:lineRule="exact"/>
              <w:rPr>
                <w:color w:val="000000"/>
                <w:sz w:val="20"/>
                <w:szCs w:val="20"/>
              </w:rPr>
            </w:pPr>
            <w:r>
              <w:rPr>
                <w:rFonts w:hint="eastAsia"/>
                <w:sz w:val="20"/>
                <w:szCs w:val="20"/>
              </w:rPr>
              <w:t>1．</w:t>
            </w:r>
            <w:r>
              <w:rPr>
                <w:b/>
                <w:sz w:val="20"/>
                <w:szCs w:val="20"/>
              </w:rPr>
              <w:t>最低标准可用</w:t>
            </w:r>
            <w:r>
              <w:rPr>
                <w:rFonts w:hint="eastAsia"/>
                <w:b/>
                <w:sz w:val="20"/>
                <w:szCs w:val="20"/>
              </w:rPr>
              <w:t>分校（站）</w:t>
            </w:r>
            <w:r>
              <w:rPr>
                <w:b/>
                <w:sz w:val="20"/>
                <w:szCs w:val="20"/>
              </w:rPr>
              <w:t>专兼职教师总数计算</w:t>
            </w:r>
            <w:r>
              <w:rPr>
                <w:rFonts w:hint="eastAsia"/>
                <w:sz w:val="20"/>
                <w:szCs w:val="20"/>
              </w:rPr>
              <w:t>。</w:t>
            </w:r>
          </w:p>
          <w:p>
            <w:pPr>
              <w:spacing w:line="260" w:lineRule="exact"/>
              <w:rPr>
                <w:color w:val="000000"/>
                <w:sz w:val="20"/>
                <w:szCs w:val="20"/>
              </w:rPr>
            </w:pPr>
            <w:r>
              <w:rPr>
                <w:rFonts w:hint="eastAsia"/>
                <w:color w:val="000000"/>
                <w:sz w:val="20"/>
                <w:szCs w:val="20"/>
              </w:rPr>
              <w:t>2．</w:t>
            </w:r>
            <w:r>
              <w:rPr>
                <w:color w:val="000000"/>
                <w:sz w:val="20"/>
                <w:szCs w:val="20"/>
              </w:rPr>
              <w:t>参考标准：学士学位授予权评审标准：生师比50:1；</w:t>
            </w:r>
            <w:r>
              <w:rPr>
                <w:rFonts w:hint="eastAsia"/>
                <w:color w:val="000000"/>
                <w:sz w:val="20"/>
                <w:szCs w:val="20"/>
              </w:rPr>
              <w:t>国开</w:t>
            </w:r>
            <w:r>
              <w:rPr>
                <w:color w:val="000000"/>
                <w:sz w:val="20"/>
                <w:szCs w:val="20"/>
              </w:rPr>
              <w:t>网络教学团队管理办法标准：生师比100:1。思政课生师比为1050:1。（生师比计算公式见说明）</w:t>
            </w:r>
            <w:r>
              <w:rPr>
                <w:rFonts w:hint="eastAsia"/>
                <w:color w:val="000000"/>
                <w:sz w:val="20"/>
                <w:szCs w:val="20"/>
              </w:rPr>
              <w:t>。</w:t>
            </w:r>
          </w:p>
          <w:p>
            <w:pPr>
              <w:spacing w:line="260" w:lineRule="exact"/>
              <w:rPr>
                <w:color w:val="000000"/>
                <w:sz w:val="20"/>
                <w:szCs w:val="20"/>
              </w:rPr>
            </w:pPr>
            <w:r>
              <w:rPr>
                <w:rFonts w:hint="eastAsia"/>
                <w:color w:val="000000"/>
                <w:sz w:val="20"/>
                <w:szCs w:val="20"/>
              </w:rPr>
              <w:t>3．分校</w:t>
            </w:r>
            <w:r>
              <w:rPr>
                <w:color w:val="000000"/>
                <w:sz w:val="20"/>
                <w:szCs w:val="20"/>
              </w:rPr>
              <w:t>和</w:t>
            </w:r>
            <w:r>
              <w:rPr>
                <w:rFonts w:hint="eastAsia"/>
                <w:color w:val="000000"/>
                <w:sz w:val="20"/>
                <w:szCs w:val="20"/>
              </w:rPr>
              <w:t>所属教学点</w:t>
            </w:r>
            <w:r>
              <w:rPr>
                <w:color w:val="000000"/>
                <w:sz w:val="20"/>
                <w:szCs w:val="20"/>
              </w:rPr>
              <w:t>应设置思政课教学负责人，原则上每个教学单位至少配备1名专职教师，每门课程落实1-2名辅导教师。</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3.2.2 专兼职教师队伍的学历、职称、年龄结构合理（20分）</w:t>
            </w:r>
          </w:p>
        </w:tc>
        <w:tc>
          <w:tcPr>
            <w:tcW w:w="3544" w:type="dxa"/>
            <w:vAlign w:val="center"/>
          </w:tcPr>
          <w:p>
            <w:pPr>
              <w:spacing w:line="260" w:lineRule="exact"/>
              <w:rPr>
                <w:rFonts w:eastAsia="仿宋_GB2312"/>
                <w:color w:val="000000"/>
                <w:sz w:val="20"/>
                <w:szCs w:val="20"/>
              </w:rPr>
            </w:pPr>
            <w:r>
              <w:rPr>
                <w:color w:val="000000"/>
                <w:sz w:val="20"/>
                <w:szCs w:val="20"/>
              </w:rPr>
              <w:t>研究生以上学历30%以上、高级职称20%以上、中青年教师50%以上（20分）；单项达不到上述标准的酌情减分</w:t>
            </w:r>
          </w:p>
        </w:tc>
        <w:tc>
          <w:tcPr>
            <w:tcW w:w="2410" w:type="dxa"/>
            <w:vAlign w:val="center"/>
          </w:tcPr>
          <w:p>
            <w:pPr>
              <w:spacing w:line="260" w:lineRule="exact"/>
              <w:rPr>
                <w:color w:val="000000"/>
                <w:sz w:val="20"/>
                <w:szCs w:val="20"/>
              </w:rPr>
            </w:pPr>
            <w:r>
              <w:rPr>
                <w:b/>
                <w:bCs/>
                <w:color w:val="000000"/>
                <w:sz w:val="20"/>
                <w:szCs w:val="20"/>
              </w:rPr>
              <w:t>按</w:t>
            </w:r>
            <w:r>
              <w:rPr>
                <w:b/>
                <w:color w:val="000000"/>
                <w:sz w:val="20"/>
                <w:szCs w:val="20"/>
              </w:rPr>
              <w:t>专兼职教师合并计算</w:t>
            </w:r>
            <w:r>
              <w:rPr>
                <w:color w:val="000000"/>
                <w:sz w:val="20"/>
                <w:szCs w:val="20"/>
              </w:rPr>
              <w:t>。中青年教师为年龄45岁以下（不含）。与前一项指标的计算口径保持一致。</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3.3 开放教育教学经费投入（45分）</w:t>
            </w:r>
          </w:p>
        </w:tc>
        <w:tc>
          <w:tcPr>
            <w:tcW w:w="2951" w:type="dxa"/>
            <w:vAlign w:val="center"/>
          </w:tcPr>
          <w:p>
            <w:pPr>
              <w:spacing w:line="260" w:lineRule="exact"/>
              <w:rPr>
                <w:sz w:val="20"/>
                <w:szCs w:val="20"/>
              </w:rPr>
            </w:pPr>
            <w:r>
              <w:rPr>
                <w:sz w:val="20"/>
                <w:szCs w:val="20"/>
              </w:rPr>
              <w:t>3.3.1 教学投入占学费收入的比例高（25分）</w:t>
            </w:r>
          </w:p>
        </w:tc>
        <w:tc>
          <w:tcPr>
            <w:tcW w:w="3544" w:type="dxa"/>
            <w:vAlign w:val="center"/>
          </w:tcPr>
          <w:p>
            <w:pPr>
              <w:spacing w:line="260" w:lineRule="exact"/>
              <w:rPr>
                <w:rFonts w:eastAsia="仿宋_GB2312"/>
                <w:color w:val="000000"/>
                <w:sz w:val="20"/>
                <w:szCs w:val="20"/>
              </w:rPr>
            </w:pPr>
            <w:r>
              <w:rPr>
                <w:color w:val="000000"/>
                <w:sz w:val="20"/>
                <w:szCs w:val="20"/>
              </w:rPr>
              <w:t>近三年教学投入占学费收入的比重。70%及以上（21-25分）；55%-69%（11-20分）；40%-54%（1-10分）；不足40%（0分）</w:t>
            </w:r>
          </w:p>
        </w:tc>
        <w:tc>
          <w:tcPr>
            <w:tcW w:w="2410" w:type="dxa"/>
            <w:vAlign w:val="center"/>
          </w:tcPr>
          <w:p>
            <w:pPr>
              <w:spacing w:line="260" w:lineRule="exact"/>
              <w:rPr>
                <w:color w:val="000000"/>
                <w:sz w:val="20"/>
                <w:szCs w:val="20"/>
              </w:rPr>
            </w:pPr>
            <w:r>
              <w:rPr>
                <w:rFonts w:hint="eastAsia"/>
                <w:color w:val="000000"/>
                <w:sz w:val="20"/>
                <w:szCs w:val="20"/>
              </w:rPr>
              <w:t>1．</w:t>
            </w:r>
            <w:r>
              <w:rPr>
                <w:b/>
                <w:bCs/>
                <w:color w:val="000000"/>
                <w:sz w:val="20"/>
                <w:szCs w:val="20"/>
              </w:rPr>
              <w:t>投入占比</w:t>
            </w:r>
            <w:r>
              <w:rPr>
                <w:b/>
                <w:color w:val="000000"/>
                <w:sz w:val="20"/>
                <w:szCs w:val="20"/>
              </w:rPr>
              <w:t>不足40%得0分</w:t>
            </w:r>
            <w:r>
              <w:rPr>
                <w:color w:val="000000"/>
                <w:sz w:val="20"/>
                <w:szCs w:val="20"/>
              </w:rPr>
              <w:t>。</w:t>
            </w:r>
          </w:p>
          <w:p>
            <w:pPr>
              <w:spacing w:line="260" w:lineRule="exact"/>
              <w:rPr>
                <w:color w:val="000000"/>
                <w:sz w:val="20"/>
                <w:szCs w:val="20"/>
              </w:rPr>
            </w:pPr>
            <w:r>
              <w:rPr>
                <w:rFonts w:hint="eastAsia"/>
                <w:color w:val="000000"/>
                <w:sz w:val="20"/>
                <w:szCs w:val="20"/>
              </w:rPr>
              <w:t>2．此项投入含人员经费。</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90"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3.3.2 资源建设、信息化软硬件建设、师资培训和实践教学投入占同期教学投入的比例高（20分）</w:t>
            </w:r>
          </w:p>
        </w:tc>
        <w:tc>
          <w:tcPr>
            <w:tcW w:w="3544" w:type="dxa"/>
            <w:vAlign w:val="center"/>
          </w:tcPr>
          <w:p>
            <w:pPr>
              <w:spacing w:line="260" w:lineRule="exact"/>
              <w:rPr>
                <w:rFonts w:eastAsia="仿宋_GB2312"/>
                <w:color w:val="000000"/>
                <w:sz w:val="20"/>
                <w:szCs w:val="20"/>
              </w:rPr>
            </w:pPr>
            <w:r>
              <w:rPr>
                <w:color w:val="000000"/>
                <w:sz w:val="20"/>
                <w:szCs w:val="20"/>
              </w:rPr>
              <w:t>近三年</w:t>
            </w:r>
            <w:r>
              <w:rPr>
                <w:rFonts w:hint="eastAsia"/>
                <w:color w:val="000000"/>
                <w:sz w:val="20"/>
                <w:szCs w:val="20"/>
              </w:rPr>
              <w:t>资源建设、</w:t>
            </w:r>
            <w:r>
              <w:rPr>
                <w:color w:val="000000"/>
                <w:sz w:val="20"/>
                <w:szCs w:val="20"/>
              </w:rPr>
              <w:t>信息化软硬件建设、师资培训和实践教学投入</w:t>
            </w:r>
            <w:r>
              <w:rPr>
                <w:rFonts w:hint="eastAsia"/>
                <w:color w:val="000000"/>
                <w:sz w:val="20"/>
                <w:szCs w:val="20"/>
              </w:rPr>
              <w:t>（以上四项合计）</w:t>
            </w:r>
            <w:r>
              <w:rPr>
                <w:color w:val="000000"/>
                <w:sz w:val="20"/>
                <w:szCs w:val="20"/>
              </w:rPr>
              <w:t>占同期教学投入的比重</w:t>
            </w:r>
            <w:r>
              <w:rPr>
                <w:rFonts w:hint="eastAsia"/>
                <w:color w:val="000000"/>
                <w:sz w:val="20"/>
                <w:szCs w:val="20"/>
              </w:rPr>
              <w:t>。</w:t>
            </w:r>
            <w:r>
              <w:rPr>
                <w:color w:val="000000"/>
                <w:sz w:val="20"/>
                <w:szCs w:val="20"/>
              </w:rPr>
              <w:t>60%及以上（16-20分）；40%-59%（6-15分）；20%-39%（1-5分）；不足20%（0分）</w:t>
            </w:r>
          </w:p>
        </w:tc>
        <w:tc>
          <w:tcPr>
            <w:tcW w:w="2410" w:type="dxa"/>
            <w:vAlign w:val="center"/>
          </w:tcPr>
          <w:p>
            <w:pPr>
              <w:spacing w:line="260" w:lineRule="exact"/>
              <w:rPr>
                <w:color w:val="000000"/>
                <w:sz w:val="20"/>
                <w:szCs w:val="20"/>
              </w:rPr>
            </w:pPr>
            <w:r>
              <w:rPr>
                <w:rFonts w:hint="eastAsia"/>
                <w:color w:val="000000"/>
                <w:sz w:val="20"/>
                <w:szCs w:val="20"/>
              </w:rPr>
              <w:t>1．</w:t>
            </w:r>
            <w:r>
              <w:rPr>
                <w:b/>
                <w:bCs/>
                <w:color w:val="000000"/>
                <w:sz w:val="20"/>
                <w:szCs w:val="20"/>
              </w:rPr>
              <w:t>投入占比</w:t>
            </w:r>
            <w:r>
              <w:rPr>
                <w:b/>
                <w:color w:val="000000"/>
                <w:sz w:val="20"/>
                <w:szCs w:val="20"/>
              </w:rPr>
              <w:t>不足20%得0分</w:t>
            </w:r>
            <w:r>
              <w:rPr>
                <w:color w:val="000000"/>
                <w:sz w:val="20"/>
                <w:szCs w:val="20"/>
              </w:rPr>
              <w:t>。</w:t>
            </w:r>
          </w:p>
          <w:p>
            <w:pPr>
              <w:spacing w:line="260" w:lineRule="exact"/>
              <w:rPr>
                <w:color w:val="000000"/>
                <w:sz w:val="20"/>
                <w:szCs w:val="20"/>
              </w:rPr>
            </w:pPr>
            <w:r>
              <w:rPr>
                <w:rFonts w:hint="eastAsia"/>
                <w:color w:val="000000"/>
                <w:sz w:val="20"/>
                <w:szCs w:val="20"/>
              </w:rPr>
              <w:t>2．资源建设、信息化软硬件建设投入按照项目计算。</w:t>
            </w:r>
          </w:p>
          <w:p>
            <w:pPr>
              <w:spacing w:line="260" w:lineRule="exact"/>
              <w:rPr>
                <w:color w:val="000000"/>
                <w:sz w:val="20"/>
                <w:szCs w:val="20"/>
              </w:rPr>
            </w:pPr>
            <w:r>
              <w:rPr>
                <w:rFonts w:hint="eastAsia"/>
                <w:color w:val="000000"/>
                <w:sz w:val="20"/>
                <w:szCs w:val="20"/>
              </w:rPr>
              <w:t>3．师资培训、实践教学投入按照项目及人员经费计算。</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675" w:hRule="atLeast"/>
          <w:jc w:val="center"/>
        </w:trPr>
        <w:tc>
          <w:tcPr>
            <w:tcW w:w="0" w:type="auto"/>
            <w:vMerge w:val="restart"/>
            <w:vAlign w:val="center"/>
          </w:tcPr>
          <w:p>
            <w:pPr>
              <w:spacing w:line="260" w:lineRule="exact"/>
              <w:jc w:val="center"/>
              <w:rPr>
                <w:sz w:val="20"/>
                <w:szCs w:val="20"/>
              </w:rPr>
            </w:pPr>
            <w:r>
              <w:rPr>
                <w:sz w:val="20"/>
                <w:szCs w:val="20"/>
              </w:rPr>
              <w:t>3</w:t>
            </w:r>
            <w:r>
              <w:rPr>
                <w:rFonts w:hint="eastAsia"/>
                <w:sz w:val="20"/>
                <w:szCs w:val="20"/>
              </w:rPr>
              <w:t>．</w:t>
            </w:r>
            <w:r>
              <w:rPr>
                <w:sz w:val="20"/>
                <w:szCs w:val="20"/>
              </w:rPr>
              <w:t>条件保障</w:t>
            </w:r>
          </w:p>
          <w:p>
            <w:pPr>
              <w:spacing w:line="260" w:lineRule="exact"/>
              <w:jc w:val="center"/>
              <w:rPr>
                <w:sz w:val="20"/>
                <w:szCs w:val="20"/>
              </w:rPr>
            </w:pPr>
            <w:r>
              <w:rPr>
                <w:rFonts w:hint="eastAsia" w:ascii="宋体" w:hAnsi="宋体"/>
                <w:sz w:val="20"/>
                <w:szCs w:val="20"/>
              </w:rPr>
              <w:t>(</w:t>
            </w:r>
            <w:r>
              <w:rPr>
                <w:sz w:val="20"/>
                <w:szCs w:val="20"/>
              </w:rPr>
              <w:t>290分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3.4 办学设施及信息化办学条件（50分）</w:t>
            </w:r>
          </w:p>
        </w:tc>
        <w:tc>
          <w:tcPr>
            <w:tcW w:w="2951" w:type="dxa"/>
            <w:vAlign w:val="center"/>
          </w:tcPr>
          <w:p>
            <w:pPr>
              <w:spacing w:line="260" w:lineRule="exact"/>
              <w:rPr>
                <w:sz w:val="20"/>
                <w:szCs w:val="20"/>
              </w:rPr>
            </w:pPr>
            <w:r>
              <w:rPr>
                <w:sz w:val="20"/>
                <w:szCs w:val="20"/>
              </w:rPr>
              <w:t>3.4.1 配备与办学规模相适应、基本满足开放大学办学的教室（包括实时联网可远程双向交互的教室、可用于日常教学与考试的教室与计算机教室等）、保密室、档案室、办公场所、录播室等（20分）</w:t>
            </w:r>
          </w:p>
        </w:tc>
        <w:tc>
          <w:tcPr>
            <w:tcW w:w="3544" w:type="dxa"/>
            <w:vAlign w:val="center"/>
          </w:tcPr>
          <w:p>
            <w:pPr>
              <w:spacing w:line="260" w:lineRule="exact"/>
              <w:rPr>
                <w:color w:val="000000"/>
                <w:sz w:val="20"/>
                <w:szCs w:val="20"/>
              </w:rPr>
            </w:pPr>
            <w:r>
              <w:rPr>
                <w:color w:val="000000"/>
                <w:sz w:val="20"/>
                <w:szCs w:val="20"/>
              </w:rPr>
              <w:t>（1）按照用于开放大学办学的教室（包括实时联网可远程双向交互的教室、可用于日常教学与考试的教室与计算机教室等）、保密室、档案室、办公场所、录播室等统计</w:t>
            </w:r>
            <w:r>
              <w:rPr>
                <w:rFonts w:hint="eastAsia"/>
                <w:color w:val="000000"/>
                <w:sz w:val="20"/>
                <w:szCs w:val="20"/>
              </w:rPr>
              <w:t>现状（10分）</w:t>
            </w:r>
          </w:p>
          <w:p>
            <w:pPr>
              <w:spacing w:line="260" w:lineRule="exact"/>
              <w:rPr>
                <w:rFonts w:eastAsia="仿宋_GB2312"/>
                <w:color w:val="000000"/>
                <w:sz w:val="20"/>
                <w:szCs w:val="20"/>
              </w:rPr>
            </w:pPr>
            <w:r>
              <w:rPr>
                <w:color w:val="000000"/>
                <w:sz w:val="20"/>
                <w:szCs w:val="20"/>
              </w:rPr>
              <w:t>（2）以上办学场所的自有率（</w:t>
            </w:r>
            <w:r>
              <w:rPr>
                <w:rFonts w:hint="eastAsia"/>
                <w:color w:val="000000"/>
                <w:sz w:val="20"/>
                <w:szCs w:val="20"/>
              </w:rPr>
              <w:t>1</w:t>
            </w:r>
            <w:r>
              <w:rPr>
                <w:color w:val="000000"/>
                <w:sz w:val="20"/>
                <w:szCs w:val="20"/>
              </w:rPr>
              <w:t>0分）</w:t>
            </w:r>
          </w:p>
        </w:tc>
        <w:tc>
          <w:tcPr>
            <w:tcW w:w="2410" w:type="dxa"/>
            <w:vAlign w:val="center"/>
          </w:tcPr>
          <w:p>
            <w:pPr>
              <w:spacing w:line="260" w:lineRule="exact"/>
              <w:rPr>
                <w:color w:val="000000"/>
                <w:sz w:val="20"/>
                <w:szCs w:val="20"/>
              </w:rPr>
            </w:pPr>
            <w:r>
              <w:rPr>
                <w:color w:val="000000"/>
                <w:sz w:val="20"/>
                <w:szCs w:val="20"/>
              </w:rPr>
              <w:t>要求有支撑材料，有具体的面积、地址等。</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878"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3.4.2 办学环境中的信息化设备充足、适用，使用率高（15分）</w:t>
            </w:r>
          </w:p>
        </w:tc>
        <w:tc>
          <w:tcPr>
            <w:tcW w:w="3544" w:type="dxa"/>
            <w:vAlign w:val="center"/>
          </w:tcPr>
          <w:p>
            <w:pPr>
              <w:spacing w:line="260" w:lineRule="exact"/>
              <w:rPr>
                <w:color w:val="000000"/>
                <w:sz w:val="20"/>
                <w:szCs w:val="20"/>
              </w:rPr>
            </w:pPr>
            <w:r>
              <w:rPr>
                <w:color w:val="000000"/>
                <w:sz w:val="20"/>
                <w:szCs w:val="20"/>
              </w:rPr>
              <w:t>（1）服务器数量、网络出口带宽、存储容量、校园网络、计算机等满足办学要求的情况（8分）</w:t>
            </w:r>
          </w:p>
          <w:p>
            <w:pPr>
              <w:spacing w:line="260" w:lineRule="exact"/>
              <w:rPr>
                <w:rFonts w:eastAsia="仿宋_GB2312"/>
                <w:color w:val="000000"/>
                <w:sz w:val="20"/>
                <w:szCs w:val="20"/>
              </w:rPr>
            </w:pPr>
            <w:r>
              <w:rPr>
                <w:color w:val="000000"/>
                <w:sz w:val="20"/>
                <w:szCs w:val="20"/>
              </w:rPr>
              <w:t>（2）</w:t>
            </w:r>
            <w:r>
              <w:rPr>
                <w:rFonts w:hint="eastAsia"/>
                <w:color w:val="000000"/>
                <w:sz w:val="20"/>
                <w:szCs w:val="20"/>
              </w:rPr>
              <w:t>信息化设备</w:t>
            </w:r>
            <w:r>
              <w:rPr>
                <w:color w:val="000000"/>
                <w:sz w:val="20"/>
                <w:szCs w:val="20"/>
              </w:rPr>
              <w:t>使用率（7分）</w:t>
            </w:r>
          </w:p>
        </w:tc>
        <w:tc>
          <w:tcPr>
            <w:tcW w:w="2410" w:type="dxa"/>
            <w:vAlign w:val="center"/>
          </w:tcPr>
          <w:p>
            <w:pPr>
              <w:spacing w:line="260" w:lineRule="exact"/>
              <w:rPr>
                <w:sz w:val="20"/>
                <w:szCs w:val="20"/>
              </w:rPr>
            </w:pPr>
            <w:r>
              <w:rPr>
                <w:sz w:val="20"/>
                <w:szCs w:val="20"/>
              </w:rPr>
              <w:t>1．要求</w:t>
            </w:r>
            <w:r>
              <w:rPr>
                <w:b/>
                <w:sz w:val="20"/>
                <w:szCs w:val="20"/>
              </w:rPr>
              <w:t>有数据支撑</w:t>
            </w:r>
            <w:r>
              <w:rPr>
                <w:sz w:val="20"/>
                <w:szCs w:val="20"/>
              </w:rPr>
              <w:t>。</w:t>
            </w:r>
          </w:p>
          <w:p>
            <w:pPr>
              <w:spacing w:line="260" w:lineRule="exact"/>
              <w:rPr>
                <w:sz w:val="20"/>
                <w:szCs w:val="20"/>
              </w:rPr>
            </w:pPr>
            <w:r>
              <w:rPr>
                <w:sz w:val="20"/>
                <w:szCs w:val="20"/>
              </w:rPr>
              <w:t>2．实地检查时专家会要求现场操作演示。</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3.4.3 教学信息化平台和工具满足招生专业教学需要（15分）</w:t>
            </w:r>
          </w:p>
        </w:tc>
        <w:tc>
          <w:tcPr>
            <w:tcW w:w="3544" w:type="dxa"/>
            <w:vAlign w:val="center"/>
          </w:tcPr>
          <w:p>
            <w:pPr>
              <w:spacing w:line="260" w:lineRule="exact"/>
              <w:rPr>
                <w:color w:val="000000"/>
                <w:sz w:val="20"/>
                <w:szCs w:val="20"/>
              </w:rPr>
            </w:pPr>
            <w:r>
              <w:rPr>
                <w:color w:val="000000"/>
                <w:sz w:val="20"/>
                <w:szCs w:val="20"/>
              </w:rPr>
              <w:t>包括国开课程平台、实训平台、适应云直播等教学工作的教学软件和教学管理软件等满足招生专业教学需要的情况（15分）</w:t>
            </w:r>
          </w:p>
        </w:tc>
        <w:tc>
          <w:tcPr>
            <w:tcW w:w="2410" w:type="dxa"/>
            <w:vAlign w:val="center"/>
          </w:tcPr>
          <w:p>
            <w:pPr>
              <w:spacing w:line="260" w:lineRule="exact"/>
              <w:rPr>
                <w:sz w:val="20"/>
                <w:szCs w:val="20"/>
              </w:rPr>
            </w:pPr>
            <w:r>
              <w:rPr>
                <w:sz w:val="20"/>
                <w:szCs w:val="20"/>
              </w:rPr>
              <w:t>须用资料（如图片、档案记录、课表等）支撑，专家在网上可查。</w:t>
            </w:r>
          </w:p>
          <w:p>
            <w:pPr>
              <w:spacing w:line="260" w:lineRule="exact"/>
              <w:rPr>
                <w:sz w:val="20"/>
                <w:szCs w:val="20"/>
              </w:rPr>
            </w:pPr>
            <w:r>
              <w:rPr>
                <w:sz w:val="20"/>
                <w:szCs w:val="20"/>
              </w:rPr>
              <w:t>在线平台以国开学习网为主，</w:t>
            </w:r>
            <w:r>
              <w:rPr>
                <w:rFonts w:hint="eastAsia"/>
                <w:sz w:val="20"/>
                <w:szCs w:val="20"/>
              </w:rPr>
              <w:t>省校及学院</w:t>
            </w:r>
            <w:r>
              <w:rPr>
                <w:sz w:val="20"/>
                <w:szCs w:val="20"/>
              </w:rPr>
              <w:t>开发的平台可作支撑。</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75"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3.5 制度建设（15分）</w:t>
            </w:r>
          </w:p>
        </w:tc>
        <w:tc>
          <w:tcPr>
            <w:tcW w:w="2951" w:type="dxa"/>
            <w:vAlign w:val="center"/>
          </w:tcPr>
          <w:p>
            <w:pPr>
              <w:spacing w:line="260" w:lineRule="exact"/>
              <w:rPr>
                <w:sz w:val="20"/>
                <w:szCs w:val="20"/>
              </w:rPr>
            </w:pPr>
            <w:r>
              <w:rPr>
                <w:sz w:val="20"/>
                <w:szCs w:val="20"/>
              </w:rPr>
              <w:t>3.5.1 招生、教学、学习资源建设、形成性考核、终结性考试、学籍、质量管理、学习支持服务、教学团队等方面制度文件齐全有效（8分）</w:t>
            </w:r>
          </w:p>
        </w:tc>
        <w:tc>
          <w:tcPr>
            <w:tcW w:w="3544" w:type="dxa"/>
            <w:vAlign w:val="center"/>
          </w:tcPr>
          <w:p>
            <w:pPr>
              <w:spacing w:line="260" w:lineRule="exact"/>
              <w:rPr>
                <w:color w:val="000000"/>
                <w:sz w:val="20"/>
                <w:szCs w:val="20"/>
              </w:rPr>
            </w:pPr>
            <w:r>
              <w:rPr>
                <w:color w:val="000000"/>
                <w:sz w:val="20"/>
                <w:szCs w:val="20"/>
              </w:rPr>
              <w:t>招生、教学、学习资源建设、形成性考核、终结性考试、学籍、质量管理、学习支持服务、教学团队等方面制度文件齐全有效的情况（8分）</w:t>
            </w:r>
          </w:p>
        </w:tc>
        <w:tc>
          <w:tcPr>
            <w:tcW w:w="2410" w:type="dxa"/>
            <w:vAlign w:val="center"/>
          </w:tcPr>
          <w:p>
            <w:pPr>
              <w:spacing w:line="260" w:lineRule="exact"/>
              <w:rPr>
                <w:sz w:val="20"/>
                <w:szCs w:val="20"/>
              </w:rPr>
            </w:pPr>
            <w:r>
              <w:rPr>
                <w:sz w:val="20"/>
                <w:szCs w:val="20"/>
              </w:rPr>
              <w:t>做好制度目录，注意分类、归档便于专家查看。与</w:t>
            </w:r>
            <w:r>
              <w:rPr>
                <w:rFonts w:hint="eastAsia"/>
                <w:sz w:val="20"/>
                <w:szCs w:val="20"/>
              </w:rPr>
              <w:t>2.1.1</w:t>
            </w:r>
            <w:r>
              <w:rPr>
                <w:sz w:val="20"/>
                <w:szCs w:val="20"/>
              </w:rPr>
              <w:t>重复的分别归档。</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3.5.2 制度文件的更新、补充、完善及时（7分）</w:t>
            </w:r>
          </w:p>
        </w:tc>
        <w:tc>
          <w:tcPr>
            <w:tcW w:w="3544" w:type="dxa"/>
            <w:vAlign w:val="center"/>
          </w:tcPr>
          <w:p>
            <w:pPr>
              <w:spacing w:line="260" w:lineRule="exact"/>
              <w:rPr>
                <w:color w:val="000000"/>
                <w:sz w:val="20"/>
                <w:szCs w:val="20"/>
              </w:rPr>
            </w:pPr>
            <w:r>
              <w:rPr>
                <w:color w:val="000000"/>
                <w:sz w:val="20"/>
                <w:szCs w:val="20"/>
              </w:rPr>
              <w:t>制度文件的更新、补充、完善情况（7分）</w:t>
            </w:r>
          </w:p>
        </w:tc>
        <w:tc>
          <w:tcPr>
            <w:tcW w:w="2410" w:type="dxa"/>
            <w:vAlign w:val="center"/>
          </w:tcPr>
          <w:p>
            <w:pPr>
              <w:spacing w:line="260" w:lineRule="exact"/>
              <w:rPr>
                <w:sz w:val="20"/>
                <w:szCs w:val="20"/>
              </w:rPr>
            </w:pPr>
            <w:r>
              <w:rPr>
                <w:b/>
                <w:sz w:val="20"/>
                <w:szCs w:val="20"/>
              </w:rPr>
              <w:t>强调更新及时、不缺项</w:t>
            </w:r>
            <w:r>
              <w:rPr>
                <w:sz w:val="20"/>
                <w:szCs w:val="20"/>
              </w:rPr>
              <w:t>（</w:t>
            </w:r>
            <w:r>
              <w:rPr>
                <w:rFonts w:hint="eastAsia"/>
                <w:sz w:val="20"/>
                <w:szCs w:val="20"/>
              </w:rPr>
              <w:t>省校</w:t>
            </w:r>
            <w:r>
              <w:rPr>
                <w:sz w:val="20"/>
                <w:szCs w:val="20"/>
              </w:rPr>
              <w:t>有文件的必须更新）、逐层贯通。</w:t>
            </w:r>
          </w:p>
        </w:tc>
        <w:tc>
          <w:tcPr>
            <w:tcW w:w="1134" w:type="dxa"/>
            <w:vMerge w:val="continue"/>
            <w:vAlign w:val="center"/>
          </w:tcPr>
          <w:p>
            <w:pPr>
              <w:spacing w:line="260" w:lineRule="exact"/>
              <w:ind w:firstLine="201" w:firstLineChars="100"/>
              <w:jc w:val="center"/>
              <w:rPr>
                <w:b/>
                <w:sz w:val="20"/>
                <w:szCs w:val="20"/>
              </w:rPr>
            </w:pPr>
          </w:p>
        </w:tc>
        <w:tc>
          <w:tcPr>
            <w:tcW w:w="850" w:type="dxa"/>
            <w:vAlign w:val="center"/>
          </w:tcPr>
          <w:p>
            <w:pPr>
              <w:spacing w:line="260" w:lineRule="exact"/>
              <w:ind w:firstLine="201" w:firstLineChars="100"/>
              <w:jc w:val="cente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3.6 学科专业建设（20分）</w:t>
            </w:r>
          </w:p>
        </w:tc>
        <w:tc>
          <w:tcPr>
            <w:tcW w:w="2951" w:type="dxa"/>
            <w:vAlign w:val="center"/>
          </w:tcPr>
          <w:p>
            <w:pPr>
              <w:snapToGrid w:val="0"/>
              <w:spacing w:line="260" w:lineRule="exact"/>
              <w:rPr>
                <w:sz w:val="20"/>
                <w:szCs w:val="20"/>
              </w:rPr>
            </w:pPr>
            <w:r>
              <w:rPr>
                <w:sz w:val="20"/>
                <w:szCs w:val="20"/>
              </w:rPr>
              <w:t>3.6.1 有教学研究成果（10分）</w:t>
            </w:r>
          </w:p>
        </w:tc>
        <w:tc>
          <w:tcPr>
            <w:tcW w:w="3544" w:type="dxa"/>
            <w:vAlign w:val="center"/>
          </w:tcPr>
          <w:p>
            <w:pPr>
              <w:spacing w:line="260" w:lineRule="exact"/>
              <w:rPr>
                <w:sz w:val="20"/>
                <w:szCs w:val="20"/>
              </w:rPr>
            </w:pPr>
            <w:r>
              <w:rPr>
                <w:rFonts w:hint="eastAsia"/>
                <w:sz w:val="20"/>
                <w:szCs w:val="20"/>
              </w:rPr>
              <w:t>围绕开放教育教学改革、管理创新、支持服务等方面的</w:t>
            </w:r>
            <w:r>
              <w:rPr>
                <w:sz w:val="20"/>
                <w:szCs w:val="20"/>
              </w:rPr>
              <w:t>教学研究成果情况（10分）</w:t>
            </w:r>
          </w:p>
        </w:tc>
        <w:tc>
          <w:tcPr>
            <w:tcW w:w="2410" w:type="dxa"/>
            <w:vAlign w:val="center"/>
          </w:tcPr>
          <w:p>
            <w:pPr>
              <w:spacing w:line="260" w:lineRule="exact"/>
              <w:rPr>
                <w:sz w:val="20"/>
                <w:szCs w:val="20"/>
              </w:rPr>
            </w:pPr>
            <w:r>
              <w:rPr>
                <w:sz w:val="20"/>
                <w:szCs w:val="20"/>
              </w:rPr>
              <w:t>教学研究的论文、成果证书及图片资料等。</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143"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3.6.2 落实实施性教学计划（10分）</w:t>
            </w:r>
          </w:p>
        </w:tc>
        <w:tc>
          <w:tcPr>
            <w:tcW w:w="3544" w:type="dxa"/>
            <w:vAlign w:val="center"/>
          </w:tcPr>
          <w:p>
            <w:pPr>
              <w:spacing w:line="260" w:lineRule="exact"/>
              <w:rPr>
                <w:sz w:val="20"/>
                <w:szCs w:val="20"/>
              </w:rPr>
            </w:pPr>
            <w:r>
              <w:rPr>
                <w:sz w:val="20"/>
                <w:szCs w:val="20"/>
              </w:rPr>
              <w:t>落实</w:t>
            </w:r>
            <w:r>
              <w:rPr>
                <w:rFonts w:hint="eastAsia"/>
                <w:sz w:val="20"/>
                <w:szCs w:val="20"/>
              </w:rPr>
              <w:t>省校实</w:t>
            </w:r>
            <w:r>
              <w:rPr>
                <w:sz w:val="20"/>
                <w:szCs w:val="20"/>
              </w:rPr>
              <w:t>施性教学计划情况（10分）</w:t>
            </w:r>
          </w:p>
        </w:tc>
        <w:tc>
          <w:tcPr>
            <w:tcW w:w="2410" w:type="dxa"/>
            <w:vAlign w:val="center"/>
          </w:tcPr>
          <w:p>
            <w:pPr>
              <w:spacing w:line="260" w:lineRule="exact"/>
              <w:rPr>
                <w:sz w:val="20"/>
                <w:szCs w:val="20"/>
              </w:rPr>
            </w:pPr>
            <w:r>
              <w:rPr>
                <w:sz w:val="20"/>
                <w:szCs w:val="20"/>
              </w:rPr>
              <w:t>实践课落实方式和效果、学生服务地方情况等都可以运用进行综合判断</w:t>
            </w:r>
            <w:r>
              <w:rPr>
                <w:rFonts w:hint="eastAsia"/>
                <w:sz w:val="20"/>
                <w:szCs w:val="20"/>
              </w:rPr>
              <w:t>实施性教学计划是否得到有效落实并在一定程度上体现地方特色</w:t>
            </w:r>
            <w:r>
              <w:rPr>
                <w:sz w:val="20"/>
                <w:szCs w:val="20"/>
              </w:rPr>
              <w:t>。</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864" w:hRule="atLeast"/>
          <w:jc w:val="center"/>
        </w:trPr>
        <w:tc>
          <w:tcPr>
            <w:tcW w:w="0" w:type="auto"/>
            <w:vMerge w:val="continue"/>
            <w:vAlign w:val="center"/>
          </w:tcPr>
          <w:p>
            <w:pPr>
              <w:spacing w:line="260" w:lineRule="exact"/>
              <w:jc w:val="center"/>
              <w:rPr>
                <w:sz w:val="20"/>
                <w:szCs w:val="20"/>
              </w:rPr>
            </w:pPr>
          </w:p>
        </w:tc>
        <w:tc>
          <w:tcPr>
            <w:tcW w:w="0" w:type="auto"/>
            <w:vAlign w:val="center"/>
          </w:tcPr>
          <w:p>
            <w:pPr>
              <w:spacing w:line="260" w:lineRule="exact"/>
              <w:rPr>
                <w:sz w:val="20"/>
                <w:szCs w:val="20"/>
              </w:rPr>
            </w:pPr>
            <w:r>
              <w:rPr>
                <w:sz w:val="20"/>
                <w:szCs w:val="20"/>
              </w:rPr>
              <w:t>3.7 学习资源配置（65分）</w:t>
            </w:r>
          </w:p>
        </w:tc>
        <w:tc>
          <w:tcPr>
            <w:tcW w:w="2951" w:type="dxa"/>
            <w:vAlign w:val="center"/>
          </w:tcPr>
          <w:p>
            <w:pPr>
              <w:spacing w:line="260" w:lineRule="exact"/>
              <w:rPr>
                <w:sz w:val="20"/>
                <w:szCs w:val="20"/>
              </w:rPr>
            </w:pPr>
            <w:r>
              <w:rPr>
                <w:rFonts w:hint="eastAsia"/>
                <w:sz w:val="20"/>
                <w:szCs w:val="20"/>
              </w:rPr>
              <w:t>★</w:t>
            </w:r>
            <w:r>
              <w:rPr>
                <w:sz w:val="20"/>
                <w:szCs w:val="20"/>
              </w:rPr>
              <w:t>3.7.1 统设课程文字主教材配置率高（30分）</w:t>
            </w:r>
          </w:p>
        </w:tc>
        <w:tc>
          <w:tcPr>
            <w:tcW w:w="3544" w:type="dxa"/>
            <w:vAlign w:val="center"/>
          </w:tcPr>
          <w:p>
            <w:pPr>
              <w:spacing w:line="260" w:lineRule="exact"/>
              <w:rPr>
                <w:sz w:val="20"/>
                <w:szCs w:val="20"/>
              </w:rPr>
            </w:pPr>
            <w:r>
              <w:rPr>
                <w:sz w:val="20"/>
                <w:szCs w:val="20"/>
              </w:rPr>
              <w:t>统设课程文字教材配置率70%及以上（26-30分）；50%-69%（11-25分）；40%-49%（1-10分）；不足40%（0分）</w:t>
            </w:r>
          </w:p>
        </w:tc>
        <w:tc>
          <w:tcPr>
            <w:tcW w:w="2410" w:type="dxa"/>
            <w:vAlign w:val="center"/>
          </w:tcPr>
          <w:p>
            <w:pPr>
              <w:spacing w:line="260" w:lineRule="exact"/>
              <w:rPr>
                <w:sz w:val="20"/>
                <w:szCs w:val="20"/>
              </w:rPr>
            </w:pPr>
            <w:r>
              <w:rPr>
                <w:b/>
                <w:bCs/>
                <w:sz w:val="20"/>
                <w:szCs w:val="20"/>
              </w:rPr>
              <w:t>主要查看当年数据，不足40%为0分</w:t>
            </w:r>
            <w:r>
              <w:rPr>
                <w:sz w:val="20"/>
                <w:szCs w:val="20"/>
              </w:rPr>
              <w:t>；其次看近三年数据，数据趋势下降得分也会受到影响。</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restart"/>
            <w:vAlign w:val="center"/>
          </w:tcPr>
          <w:p>
            <w:pPr>
              <w:spacing w:line="260" w:lineRule="exact"/>
              <w:jc w:val="center"/>
              <w:rPr>
                <w:sz w:val="20"/>
                <w:szCs w:val="20"/>
              </w:rPr>
            </w:pPr>
            <w:r>
              <w:rPr>
                <w:sz w:val="20"/>
                <w:szCs w:val="20"/>
              </w:rPr>
              <w:t>3</w:t>
            </w:r>
            <w:r>
              <w:rPr>
                <w:rFonts w:hint="eastAsia"/>
                <w:sz w:val="20"/>
                <w:szCs w:val="20"/>
              </w:rPr>
              <w:t>．</w:t>
            </w:r>
            <w:r>
              <w:rPr>
                <w:sz w:val="20"/>
                <w:szCs w:val="20"/>
              </w:rPr>
              <w:t>条件保障</w:t>
            </w:r>
          </w:p>
          <w:p>
            <w:pPr>
              <w:spacing w:line="260" w:lineRule="exact"/>
              <w:jc w:val="center"/>
              <w:rPr>
                <w:sz w:val="20"/>
                <w:szCs w:val="20"/>
              </w:rPr>
            </w:pPr>
            <w:r>
              <w:rPr>
                <w:rFonts w:hint="eastAsia" w:ascii="宋体" w:hAnsi="宋体"/>
                <w:sz w:val="20"/>
                <w:szCs w:val="20"/>
              </w:rPr>
              <w:t>(</w:t>
            </w:r>
            <w:r>
              <w:rPr>
                <w:sz w:val="20"/>
                <w:szCs w:val="20"/>
              </w:rPr>
              <w:t>290分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3.7 学习资源配置（65分）</w:t>
            </w:r>
          </w:p>
        </w:tc>
        <w:tc>
          <w:tcPr>
            <w:tcW w:w="2951" w:type="dxa"/>
            <w:vAlign w:val="center"/>
          </w:tcPr>
          <w:p>
            <w:pPr>
              <w:spacing w:line="260" w:lineRule="exact"/>
              <w:rPr>
                <w:sz w:val="20"/>
                <w:szCs w:val="20"/>
              </w:rPr>
            </w:pPr>
            <w:r>
              <w:rPr>
                <w:sz w:val="20"/>
                <w:szCs w:val="20"/>
              </w:rPr>
              <w:t>3.7.2 资源应用效果好（25分）</w:t>
            </w:r>
          </w:p>
        </w:tc>
        <w:tc>
          <w:tcPr>
            <w:tcW w:w="3544" w:type="dxa"/>
            <w:vAlign w:val="center"/>
          </w:tcPr>
          <w:p>
            <w:pPr>
              <w:spacing w:line="260" w:lineRule="exact"/>
              <w:rPr>
                <w:sz w:val="20"/>
                <w:szCs w:val="20"/>
              </w:rPr>
            </w:pPr>
            <w:r>
              <w:rPr>
                <w:sz w:val="20"/>
                <w:szCs w:val="20"/>
              </w:rPr>
              <w:t>（1）教学资源</w:t>
            </w:r>
            <w:r>
              <w:rPr>
                <w:rFonts w:hint="eastAsia"/>
                <w:sz w:val="20"/>
                <w:szCs w:val="20"/>
              </w:rPr>
              <w:t>整体使用情况</w:t>
            </w:r>
            <w:r>
              <w:rPr>
                <w:sz w:val="20"/>
                <w:szCs w:val="20"/>
              </w:rPr>
              <w:t>（15分）</w:t>
            </w:r>
          </w:p>
          <w:p>
            <w:pPr>
              <w:spacing w:line="260" w:lineRule="exact"/>
              <w:rPr>
                <w:sz w:val="20"/>
                <w:szCs w:val="20"/>
              </w:rPr>
            </w:pPr>
            <w:r>
              <w:rPr>
                <w:sz w:val="20"/>
                <w:szCs w:val="20"/>
              </w:rPr>
              <w:t>（2）优质</w:t>
            </w:r>
            <w:r>
              <w:rPr>
                <w:rFonts w:hint="eastAsia"/>
                <w:sz w:val="20"/>
                <w:szCs w:val="20"/>
              </w:rPr>
              <w:t>教学</w:t>
            </w:r>
            <w:r>
              <w:rPr>
                <w:sz w:val="20"/>
                <w:szCs w:val="20"/>
              </w:rPr>
              <w:t>资源向社会推广、开放的情况（10分）</w:t>
            </w:r>
          </w:p>
        </w:tc>
        <w:tc>
          <w:tcPr>
            <w:tcW w:w="2410" w:type="dxa"/>
            <w:vAlign w:val="center"/>
          </w:tcPr>
          <w:p>
            <w:pPr>
              <w:spacing w:line="260" w:lineRule="exact"/>
              <w:rPr>
                <w:sz w:val="20"/>
                <w:szCs w:val="20"/>
              </w:rPr>
            </w:pPr>
            <w:r>
              <w:rPr>
                <w:sz w:val="20"/>
                <w:szCs w:val="20"/>
              </w:rPr>
              <w:t>支撑材料可多形式展示，直观、说明性要强。</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 xml:space="preserve">3.7.3 </w:t>
            </w:r>
            <w:r>
              <w:rPr>
                <w:rFonts w:hint="eastAsia"/>
                <w:sz w:val="20"/>
                <w:szCs w:val="20"/>
              </w:rPr>
              <w:t>分校</w:t>
            </w:r>
            <w:r>
              <w:rPr>
                <w:sz w:val="20"/>
                <w:szCs w:val="20"/>
              </w:rPr>
              <w:t>配备满足本地教学需求的纸质书刊和电子资源，配套服务与保障机制健全，生均图书（含电子资料）100册以上(10分)</w:t>
            </w:r>
          </w:p>
        </w:tc>
        <w:tc>
          <w:tcPr>
            <w:tcW w:w="3544" w:type="dxa"/>
            <w:vAlign w:val="center"/>
          </w:tcPr>
          <w:p>
            <w:pPr>
              <w:spacing w:line="260" w:lineRule="exact"/>
              <w:rPr>
                <w:sz w:val="20"/>
                <w:szCs w:val="20"/>
              </w:rPr>
            </w:pPr>
            <w:r>
              <w:rPr>
                <w:rFonts w:hint="eastAsia"/>
                <w:sz w:val="20"/>
                <w:szCs w:val="20"/>
              </w:rPr>
              <w:t>分校</w:t>
            </w:r>
            <w:r>
              <w:rPr>
                <w:sz w:val="20"/>
                <w:szCs w:val="20"/>
              </w:rPr>
              <w:t>配备满足本地教学需求的纸质书刊和电子资源，配套服务与保障机制、生均图书（含电子资料）的情况</w:t>
            </w:r>
            <w:r>
              <w:rPr>
                <w:rFonts w:hint="eastAsia"/>
                <w:sz w:val="20"/>
                <w:szCs w:val="20"/>
              </w:rPr>
              <w:t>（10</w:t>
            </w:r>
            <w:r>
              <w:rPr>
                <w:sz w:val="20"/>
                <w:szCs w:val="20"/>
              </w:rPr>
              <w:t>分</w:t>
            </w:r>
            <w:r>
              <w:rPr>
                <w:rFonts w:hint="eastAsia"/>
                <w:sz w:val="20"/>
                <w:szCs w:val="20"/>
              </w:rPr>
              <w:t>）</w:t>
            </w:r>
          </w:p>
        </w:tc>
        <w:tc>
          <w:tcPr>
            <w:tcW w:w="2410" w:type="dxa"/>
            <w:vAlign w:val="center"/>
          </w:tcPr>
          <w:p>
            <w:pPr>
              <w:spacing w:line="260" w:lineRule="exact"/>
              <w:rPr>
                <w:sz w:val="20"/>
                <w:szCs w:val="20"/>
              </w:rPr>
            </w:pPr>
            <w:r>
              <w:rPr>
                <w:sz w:val="20"/>
                <w:szCs w:val="20"/>
              </w:rPr>
              <w:t>专家通过学生电话或座谈询问使用图书馆或数字图书馆的频次</w:t>
            </w:r>
            <w:r>
              <w:rPr>
                <w:rFonts w:hint="eastAsia"/>
                <w:sz w:val="20"/>
                <w:szCs w:val="20"/>
              </w:rPr>
              <w:t>、</w:t>
            </w:r>
            <w:r>
              <w:rPr>
                <w:sz w:val="20"/>
                <w:szCs w:val="20"/>
              </w:rPr>
              <w:t>主要作用</w:t>
            </w:r>
            <w:r>
              <w:rPr>
                <w:rFonts w:hint="eastAsia"/>
                <w:sz w:val="20"/>
                <w:szCs w:val="20"/>
              </w:rPr>
              <w:t>以及分校</w:t>
            </w:r>
            <w:r>
              <w:rPr>
                <w:sz w:val="20"/>
                <w:szCs w:val="20"/>
              </w:rPr>
              <w:t>提供的相关服务</w:t>
            </w:r>
            <w:r>
              <w:rPr>
                <w:rFonts w:hint="eastAsia"/>
                <w:sz w:val="20"/>
                <w:szCs w:val="20"/>
              </w:rPr>
              <w:t>的情况</w:t>
            </w:r>
          </w:p>
        </w:tc>
        <w:tc>
          <w:tcPr>
            <w:tcW w:w="1134" w:type="dxa"/>
            <w:vMerge w:val="continue"/>
            <w:vAlign w:val="center"/>
          </w:tcPr>
          <w:p>
            <w:pPr>
              <w:spacing w:line="260" w:lineRule="exact"/>
              <w:ind w:firstLine="200" w:firstLineChars="100"/>
              <w:jc w:val="center"/>
              <w:rPr>
                <w:sz w:val="20"/>
                <w:szCs w:val="20"/>
              </w:rPr>
            </w:pPr>
          </w:p>
        </w:tc>
        <w:tc>
          <w:tcPr>
            <w:tcW w:w="850" w:type="dxa"/>
            <w:vAlign w:val="center"/>
          </w:tcPr>
          <w:p>
            <w:pPr>
              <w:spacing w:line="26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3.8 人员培训（20分）</w:t>
            </w:r>
          </w:p>
        </w:tc>
        <w:tc>
          <w:tcPr>
            <w:tcW w:w="2951" w:type="dxa"/>
            <w:vAlign w:val="center"/>
          </w:tcPr>
          <w:p>
            <w:pPr>
              <w:spacing w:line="260" w:lineRule="exact"/>
              <w:rPr>
                <w:sz w:val="20"/>
                <w:szCs w:val="20"/>
              </w:rPr>
            </w:pPr>
            <w:r>
              <w:rPr>
                <w:sz w:val="20"/>
                <w:szCs w:val="20"/>
              </w:rPr>
              <w:t>3.8.1 按要求参加</w:t>
            </w:r>
            <w:r>
              <w:rPr>
                <w:rFonts w:hint="eastAsia"/>
                <w:sz w:val="20"/>
                <w:szCs w:val="20"/>
              </w:rPr>
              <w:t>国开及省校</w:t>
            </w:r>
            <w:r>
              <w:rPr>
                <w:sz w:val="20"/>
                <w:szCs w:val="20"/>
              </w:rPr>
              <w:t>组织的各类培训（10分）</w:t>
            </w:r>
          </w:p>
        </w:tc>
        <w:tc>
          <w:tcPr>
            <w:tcW w:w="3544" w:type="dxa"/>
            <w:vAlign w:val="center"/>
          </w:tcPr>
          <w:p>
            <w:pPr>
              <w:spacing w:line="260" w:lineRule="exact"/>
              <w:rPr>
                <w:color w:val="000000"/>
                <w:sz w:val="20"/>
                <w:szCs w:val="20"/>
              </w:rPr>
            </w:pPr>
            <w:r>
              <w:rPr>
                <w:color w:val="000000"/>
                <w:sz w:val="20"/>
                <w:szCs w:val="20"/>
              </w:rPr>
              <w:t>（1）按要求参加</w:t>
            </w:r>
            <w:r>
              <w:rPr>
                <w:rFonts w:hint="eastAsia"/>
                <w:color w:val="000000"/>
                <w:sz w:val="20"/>
                <w:szCs w:val="20"/>
              </w:rPr>
              <w:t>国开</w:t>
            </w:r>
            <w:r>
              <w:rPr>
                <w:color w:val="000000"/>
                <w:sz w:val="20"/>
                <w:szCs w:val="20"/>
              </w:rPr>
              <w:t>、</w:t>
            </w:r>
            <w:r>
              <w:rPr>
                <w:rFonts w:hint="eastAsia"/>
                <w:sz w:val="20"/>
                <w:szCs w:val="20"/>
              </w:rPr>
              <w:t>省校</w:t>
            </w:r>
            <w:r>
              <w:rPr>
                <w:color w:val="000000"/>
                <w:sz w:val="20"/>
                <w:szCs w:val="20"/>
              </w:rPr>
              <w:t>组织的各类培训的情况（近三年培训的类型、人员、时间、效果）（10分）</w:t>
            </w:r>
          </w:p>
        </w:tc>
        <w:tc>
          <w:tcPr>
            <w:tcW w:w="2410" w:type="dxa"/>
            <w:vMerge w:val="restart"/>
            <w:vAlign w:val="center"/>
          </w:tcPr>
          <w:p>
            <w:pPr>
              <w:spacing w:line="260" w:lineRule="exact"/>
              <w:rPr>
                <w:sz w:val="20"/>
                <w:szCs w:val="20"/>
              </w:rPr>
            </w:pPr>
            <w:r>
              <w:rPr>
                <w:sz w:val="20"/>
                <w:szCs w:val="20"/>
              </w:rPr>
              <w:t>近三年培训的类型、人员、时间、效果</w:t>
            </w:r>
            <w:r>
              <w:rPr>
                <w:rFonts w:hint="eastAsia"/>
                <w:sz w:val="20"/>
                <w:szCs w:val="20"/>
              </w:rPr>
              <w:t>。</w:t>
            </w:r>
          </w:p>
        </w:tc>
        <w:tc>
          <w:tcPr>
            <w:tcW w:w="1134" w:type="dxa"/>
            <w:vMerge w:val="continue"/>
            <w:vAlign w:val="center"/>
          </w:tcPr>
          <w:p>
            <w:pPr>
              <w:spacing w:line="260" w:lineRule="exact"/>
              <w:jc w:val="center"/>
              <w:rPr>
                <w:sz w:val="20"/>
                <w:szCs w:val="20"/>
              </w:rPr>
            </w:pPr>
          </w:p>
        </w:tc>
        <w:tc>
          <w:tcPr>
            <w:tcW w:w="850" w:type="dxa"/>
            <w:vAlign w:val="center"/>
          </w:tcPr>
          <w:p>
            <w:pPr>
              <w:spacing w:line="260" w:lineRule="exact"/>
              <w:jc w:val="center"/>
              <w:rPr>
                <w:rFonts w:hint="default" w:eastAsia="宋体"/>
                <w:sz w:val="20"/>
                <w:szCs w:val="20"/>
                <w:lang w:val="en-US" w:eastAsia="zh-CN"/>
              </w:rPr>
            </w:pPr>
            <w:r>
              <w:rPr>
                <w:rFonts w:hint="eastAsia"/>
                <w:sz w:val="20"/>
                <w:szCs w:val="20"/>
                <w:lang w:val="en-US" w:eastAsia="zh-CN"/>
              </w:rPr>
              <w:t>教研处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 xml:space="preserve">3.8.2 </w:t>
            </w:r>
            <w:r>
              <w:rPr>
                <w:rFonts w:hint="eastAsia"/>
                <w:sz w:val="20"/>
                <w:szCs w:val="20"/>
              </w:rPr>
              <w:t>分校</w:t>
            </w:r>
            <w:r>
              <w:rPr>
                <w:sz w:val="20"/>
                <w:szCs w:val="20"/>
              </w:rPr>
              <w:t>定期组织开展各类人员培训（10分）</w:t>
            </w:r>
          </w:p>
        </w:tc>
        <w:tc>
          <w:tcPr>
            <w:tcW w:w="3544" w:type="dxa"/>
            <w:vAlign w:val="center"/>
          </w:tcPr>
          <w:p>
            <w:pPr>
              <w:spacing w:line="260" w:lineRule="exact"/>
              <w:rPr>
                <w:color w:val="000000"/>
                <w:sz w:val="20"/>
                <w:szCs w:val="20"/>
              </w:rPr>
            </w:pPr>
            <w:r>
              <w:rPr>
                <w:color w:val="000000"/>
                <w:sz w:val="20"/>
                <w:szCs w:val="20"/>
              </w:rPr>
              <w:t>（2）</w:t>
            </w:r>
            <w:r>
              <w:rPr>
                <w:rFonts w:hint="eastAsia"/>
                <w:sz w:val="20"/>
                <w:szCs w:val="20"/>
              </w:rPr>
              <w:t>分校</w:t>
            </w:r>
            <w:r>
              <w:rPr>
                <w:color w:val="000000"/>
                <w:sz w:val="20"/>
                <w:szCs w:val="20"/>
              </w:rPr>
              <w:t>定期组织开展的各类人员培训的情况（近三年培训的类型、人员、时间、效果）（10分）</w:t>
            </w:r>
          </w:p>
        </w:tc>
        <w:tc>
          <w:tcPr>
            <w:tcW w:w="2410" w:type="dxa"/>
            <w:vMerge w:val="continue"/>
            <w:vAlign w:val="center"/>
          </w:tcPr>
          <w:p>
            <w:pPr>
              <w:spacing w:line="260" w:lineRule="exact"/>
              <w:rPr>
                <w:sz w:val="20"/>
                <w:szCs w:val="20"/>
              </w:rPr>
            </w:pPr>
          </w:p>
        </w:tc>
        <w:tc>
          <w:tcPr>
            <w:tcW w:w="1134" w:type="dxa"/>
            <w:vMerge w:val="continue"/>
            <w:vAlign w:val="center"/>
          </w:tcPr>
          <w:p>
            <w:pPr>
              <w:spacing w:line="260" w:lineRule="exact"/>
              <w:jc w:val="center"/>
              <w:rPr>
                <w:sz w:val="20"/>
                <w:szCs w:val="20"/>
              </w:rPr>
            </w:pPr>
          </w:p>
        </w:tc>
        <w:tc>
          <w:tcPr>
            <w:tcW w:w="850" w:type="dxa"/>
            <w:vAlign w:val="center"/>
          </w:tcPr>
          <w:p>
            <w:pPr>
              <w:spacing w:line="2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restart"/>
            <w:vAlign w:val="center"/>
          </w:tcPr>
          <w:p>
            <w:pPr>
              <w:spacing w:line="260" w:lineRule="exact"/>
              <w:jc w:val="center"/>
              <w:rPr>
                <w:sz w:val="20"/>
                <w:szCs w:val="20"/>
              </w:rPr>
            </w:pPr>
            <w:r>
              <w:rPr>
                <w:sz w:val="20"/>
                <w:szCs w:val="20"/>
              </w:rPr>
              <w:t>4</w:t>
            </w:r>
            <w:r>
              <w:rPr>
                <w:rFonts w:hint="eastAsia"/>
                <w:sz w:val="20"/>
                <w:szCs w:val="20"/>
              </w:rPr>
              <w:t>．</w:t>
            </w:r>
            <w:r>
              <w:rPr>
                <w:sz w:val="20"/>
                <w:szCs w:val="20"/>
              </w:rPr>
              <w:t>教学运行与效果</w:t>
            </w:r>
          </w:p>
          <w:p>
            <w:pPr>
              <w:spacing w:line="260" w:lineRule="exact"/>
              <w:jc w:val="center"/>
              <w:rPr>
                <w:sz w:val="20"/>
                <w:szCs w:val="20"/>
              </w:rPr>
            </w:pPr>
            <w:r>
              <w:rPr>
                <w:rFonts w:hint="eastAsia" w:ascii="宋体" w:hAnsi="宋体"/>
                <w:sz w:val="20"/>
                <w:szCs w:val="20"/>
              </w:rPr>
              <w:t>(</w:t>
            </w:r>
            <w:r>
              <w:rPr>
                <w:sz w:val="20"/>
                <w:szCs w:val="20"/>
              </w:rPr>
              <w:t>340分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4.1 招生宣传与规范管理（40分）</w:t>
            </w:r>
          </w:p>
        </w:tc>
        <w:tc>
          <w:tcPr>
            <w:tcW w:w="2951" w:type="dxa"/>
            <w:vAlign w:val="center"/>
          </w:tcPr>
          <w:p>
            <w:pPr>
              <w:spacing w:line="260" w:lineRule="exact"/>
              <w:rPr>
                <w:sz w:val="20"/>
                <w:szCs w:val="20"/>
              </w:rPr>
            </w:pPr>
            <w:r>
              <w:rPr>
                <w:rFonts w:hint="eastAsia"/>
                <w:sz w:val="20"/>
                <w:szCs w:val="20"/>
              </w:rPr>
              <w:t>★</w:t>
            </w:r>
            <w:r>
              <w:rPr>
                <w:sz w:val="20"/>
                <w:szCs w:val="20"/>
              </w:rPr>
              <w:t>4.1.1 按</w:t>
            </w:r>
            <w:r>
              <w:rPr>
                <w:rFonts w:hint="eastAsia"/>
                <w:sz w:val="20"/>
                <w:szCs w:val="20"/>
              </w:rPr>
              <w:t>省校</w:t>
            </w:r>
            <w:r>
              <w:rPr>
                <w:sz w:val="20"/>
                <w:szCs w:val="20"/>
              </w:rPr>
              <w:t>统一要求开展招生宣传，无虚假宣传、违规招生等问题（30分）</w:t>
            </w:r>
          </w:p>
        </w:tc>
        <w:tc>
          <w:tcPr>
            <w:tcW w:w="3544" w:type="dxa"/>
            <w:vAlign w:val="center"/>
          </w:tcPr>
          <w:p>
            <w:pPr>
              <w:spacing w:line="260" w:lineRule="exact"/>
              <w:rPr>
                <w:color w:val="000000"/>
                <w:sz w:val="20"/>
                <w:szCs w:val="20"/>
              </w:rPr>
            </w:pPr>
            <w:r>
              <w:rPr>
                <w:color w:val="000000"/>
                <w:sz w:val="20"/>
                <w:szCs w:val="20"/>
              </w:rPr>
              <w:t>（1）招生宣传及规范管理情况。（25分）</w:t>
            </w:r>
          </w:p>
          <w:p>
            <w:pPr>
              <w:spacing w:line="260" w:lineRule="exact"/>
              <w:rPr>
                <w:color w:val="000000"/>
                <w:sz w:val="20"/>
                <w:szCs w:val="20"/>
              </w:rPr>
            </w:pPr>
            <w:r>
              <w:rPr>
                <w:color w:val="000000"/>
                <w:sz w:val="20"/>
                <w:szCs w:val="20"/>
              </w:rPr>
              <w:t>（2）招生宣传及管理中心存在的问题。如学生投诉、严重违规招生问题（跨区域招生、委托中介招生等）（5分）</w:t>
            </w:r>
          </w:p>
        </w:tc>
        <w:tc>
          <w:tcPr>
            <w:tcW w:w="2410" w:type="dxa"/>
            <w:vAlign w:val="center"/>
          </w:tcPr>
          <w:p>
            <w:pPr>
              <w:spacing w:line="260" w:lineRule="exact"/>
              <w:rPr>
                <w:sz w:val="20"/>
                <w:szCs w:val="20"/>
              </w:rPr>
            </w:pPr>
            <w:r>
              <w:rPr>
                <w:sz w:val="20"/>
                <w:szCs w:val="20"/>
              </w:rPr>
              <w:t>招生简章按要求备案，按学期制定招生工作方案。检查</w:t>
            </w:r>
            <w:r>
              <w:rPr>
                <w:rFonts w:hint="eastAsia"/>
                <w:sz w:val="20"/>
                <w:szCs w:val="20"/>
              </w:rPr>
              <w:t>分校、教学点</w:t>
            </w:r>
            <w:r>
              <w:rPr>
                <w:sz w:val="20"/>
                <w:szCs w:val="20"/>
              </w:rPr>
              <w:t>落实</w:t>
            </w:r>
            <w:r>
              <w:rPr>
                <w:rFonts w:hint="eastAsia"/>
                <w:sz w:val="20"/>
                <w:szCs w:val="20"/>
              </w:rPr>
              <w:t>省校</w:t>
            </w:r>
            <w:r>
              <w:rPr>
                <w:sz w:val="20"/>
                <w:szCs w:val="20"/>
              </w:rPr>
              <w:t>招生宣传具体情况（如：是否张贴招生海报、</w:t>
            </w:r>
            <w:r>
              <w:rPr>
                <w:rFonts w:hint="eastAsia"/>
                <w:sz w:val="20"/>
                <w:szCs w:val="20"/>
              </w:rPr>
              <w:t>分校</w:t>
            </w:r>
            <w:r>
              <w:rPr>
                <w:sz w:val="20"/>
                <w:szCs w:val="20"/>
              </w:rPr>
              <w:t>网页及教职员工招生服务方面的网络宣传是否规范等）；近一年有严重违规招生问题（跨区域招生、委托中介招生等）本项则不得分。</w:t>
            </w:r>
          </w:p>
        </w:tc>
        <w:tc>
          <w:tcPr>
            <w:tcW w:w="1134" w:type="dxa"/>
            <w:vMerge w:val="restart"/>
            <w:vAlign w:val="center"/>
          </w:tcPr>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rFonts w:hint="default" w:eastAsia="宋体"/>
                <w:sz w:val="20"/>
                <w:szCs w:val="20"/>
                <w:lang w:val="en-US" w:eastAsia="zh-CN"/>
              </w:rPr>
            </w:pPr>
            <w:r>
              <w:rPr>
                <w:rFonts w:hint="eastAsia"/>
                <w:sz w:val="20"/>
                <w:szCs w:val="20"/>
                <w:lang w:val="en-US" w:eastAsia="zh-CN"/>
              </w:rPr>
              <w:t>教务处</w: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eastAsia"/>
                <w:sz w:val="20"/>
                <w:szCs w:val="20"/>
                <w:lang w:val="en-US" w:eastAsia="zh-CN"/>
              </w:rPr>
            </w:pPr>
          </w:p>
          <w:p>
            <w:pPr>
              <w:spacing w:line="260" w:lineRule="exact"/>
              <w:jc w:val="center"/>
              <w:rPr>
                <w:rFonts w:hint="default" w:eastAsia="宋体"/>
                <w:sz w:val="20"/>
                <w:szCs w:val="20"/>
                <w:lang w:val="en-US" w:eastAsia="zh-CN"/>
              </w:rPr>
            </w:pPr>
            <w:r>
              <w:rPr>
                <w:rFonts w:hint="eastAsia"/>
                <w:sz w:val="20"/>
                <w:szCs w:val="20"/>
                <w:lang w:val="en-US" w:eastAsia="zh-CN"/>
              </w:rPr>
              <w:t>教研处</w: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ind w:firstLine="200" w:firstLineChars="100"/>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40" w:lineRule="exact"/>
              <w:jc w:val="center"/>
              <w:rPr>
                <w:rFonts w:hint="default" w:eastAsia="宋体"/>
                <w:color w:val="000000"/>
                <w:sz w:val="20"/>
                <w:szCs w:val="20"/>
                <w:lang w:val="en-US" w:eastAsia="zh-CN"/>
              </w:rPr>
            </w:pPr>
            <w:r>
              <w:rPr>
                <w:rFonts w:hint="eastAsia"/>
                <w:color w:val="000000"/>
                <w:sz w:val="20"/>
                <w:szCs w:val="20"/>
                <w:lang w:val="en-US" w:eastAsia="zh-CN"/>
              </w:rPr>
              <w:t>教研处</w:t>
            </w: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jc w:val="center"/>
              <w:rPr>
                <w:color w:val="000000"/>
                <w:sz w:val="20"/>
                <w:szCs w:val="20"/>
              </w:rPr>
            </w:pPr>
          </w:p>
          <w:p>
            <w:pPr>
              <w:spacing w:line="240" w:lineRule="exact"/>
              <w:ind w:firstLine="200" w:firstLineChars="100"/>
              <w:rPr>
                <w:sz w:val="20"/>
                <w:szCs w:val="20"/>
              </w:rPr>
            </w:pPr>
            <w:r>
              <w:rPr>
                <w:rFonts w:hint="eastAsia"/>
                <w:sz w:val="20"/>
                <w:szCs w:val="20"/>
              </w:rPr>
              <w:t xml:space="preserve"> </w:t>
            </w:r>
            <w:r>
              <w:rPr>
                <w:sz w:val="20"/>
                <w:szCs w:val="20"/>
              </w:rPr>
              <w:t xml:space="preserve">  </w:t>
            </w:r>
          </w:p>
          <w:p>
            <w:pPr>
              <w:spacing w:line="240" w:lineRule="exact"/>
              <w:ind w:firstLine="200" w:firstLineChars="100"/>
              <w:rPr>
                <w:sz w:val="20"/>
                <w:szCs w:val="20"/>
              </w:rPr>
            </w:pPr>
            <w:r>
              <w:rPr>
                <w:rFonts w:hint="eastAsia"/>
                <w:sz w:val="20"/>
                <w:szCs w:val="20"/>
              </w:rPr>
              <w:t xml:space="preserve"> </w:t>
            </w:r>
            <w:r>
              <w:rPr>
                <w:sz w:val="20"/>
                <w:szCs w:val="20"/>
              </w:rPr>
              <w:t xml:space="preserve">  </w:t>
            </w:r>
          </w:p>
          <w:p>
            <w:pPr>
              <w:spacing w:line="240" w:lineRule="exact"/>
              <w:ind w:firstLine="200" w:firstLineChars="100"/>
              <w:rPr>
                <w:sz w:val="20"/>
                <w:szCs w:val="20"/>
              </w:rPr>
            </w:pPr>
            <w:r>
              <w:rPr>
                <w:rFonts w:hint="eastAsia"/>
                <w:sz w:val="20"/>
                <w:szCs w:val="20"/>
              </w:rPr>
              <w:t xml:space="preserve"> </w:t>
            </w:r>
            <w:r>
              <w:rPr>
                <w:sz w:val="20"/>
                <w:szCs w:val="20"/>
              </w:rPr>
              <w:t xml:space="preserve">  </w:t>
            </w:r>
          </w:p>
          <w:p>
            <w:pPr>
              <w:spacing w:line="260" w:lineRule="exact"/>
              <w:rPr>
                <w:sz w:val="20"/>
                <w:szCs w:val="20"/>
              </w:rPr>
            </w:pPr>
            <w:r>
              <w:rPr>
                <w:sz w:val="20"/>
                <w:szCs w:val="20"/>
              </w:rPr>
              <w:t xml:space="preserve">     </w: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rFonts w:hint="default" w:eastAsia="宋体"/>
                <w:sz w:val="20"/>
                <w:szCs w:val="20"/>
                <w:lang w:val="en-US" w:eastAsia="zh-CN"/>
              </w:rPr>
            </w:pPr>
            <w:r>
              <w:rPr>
                <w:rFonts w:hint="eastAsia"/>
                <w:sz w:val="20"/>
                <w:szCs w:val="20"/>
                <w:lang w:val="en-US" w:eastAsia="zh-CN"/>
              </w:rPr>
              <w:t>教研处</w:t>
            </w: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60" w:lineRule="exact"/>
              <w:jc w:val="center"/>
              <w:rPr>
                <w:sz w:val="20"/>
                <w:szCs w:val="20"/>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eastAsia"/>
                <w:sz w:val="20"/>
                <w:szCs w:val="20"/>
                <w:lang w:val="en-US" w:eastAsia="zh-CN"/>
              </w:rPr>
            </w:pPr>
          </w:p>
          <w:p>
            <w:pPr>
              <w:spacing w:line="240" w:lineRule="exact"/>
              <w:ind w:firstLine="200" w:firstLineChars="100"/>
              <w:rPr>
                <w:rFonts w:hint="default" w:eastAsia="宋体"/>
                <w:sz w:val="20"/>
                <w:szCs w:val="20"/>
                <w:lang w:val="en-US" w:eastAsia="zh-CN"/>
              </w:rPr>
            </w:pPr>
            <w:r>
              <w:rPr>
                <w:rFonts w:hint="eastAsia"/>
                <w:sz w:val="20"/>
                <w:szCs w:val="20"/>
                <w:lang w:val="en-US" w:eastAsia="zh-CN"/>
              </w:rPr>
              <w:t>教务处</w:t>
            </w:r>
          </w:p>
        </w:tc>
        <w:tc>
          <w:tcPr>
            <w:tcW w:w="850" w:type="dxa"/>
            <w:vAlign w:val="center"/>
          </w:tcPr>
          <w:p>
            <w:pPr>
              <w:spacing w:line="2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4.1.2 按</w:t>
            </w:r>
            <w:r>
              <w:rPr>
                <w:rFonts w:hint="eastAsia"/>
                <w:sz w:val="20"/>
                <w:szCs w:val="20"/>
              </w:rPr>
              <w:t>省校</w:t>
            </w:r>
            <w:r>
              <w:rPr>
                <w:sz w:val="20"/>
                <w:szCs w:val="20"/>
              </w:rPr>
              <w:t>要求完成入学资格审核（10分）</w:t>
            </w:r>
          </w:p>
        </w:tc>
        <w:tc>
          <w:tcPr>
            <w:tcW w:w="3544" w:type="dxa"/>
            <w:vAlign w:val="center"/>
          </w:tcPr>
          <w:p>
            <w:pPr>
              <w:spacing w:line="260" w:lineRule="exact"/>
              <w:rPr>
                <w:color w:val="000000"/>
                <w:sz w:val="20"/>
                <w:szCs w:val="20"/>
              </w:rPr>
            </w:pPr>
            <w:r>
              <w:rPr>
                <w:color w:val="000000"/>
                <w:sz w:val="20"/>
                <w:szCs w:val="20"/>
              </w:rPr>
              <w:t>（1）学生提交的报名材料符合规定情况（6分）</w:t>
            </w:r>
          </w:p>
          <w:p>
            <w:pPr>
              <w:spacing w:line="260" w:lineRule="exact"/>
              <w:rPr>
                <w:color w:val="000000"/>
                <w:sz w:val="20"/>
                <w:szCs w:val="20"/>
              </w:rPr>
            </w:pPr>
            <w:r>
              <w:rPr>
                <w:color w:val="000000"/>
                <w:sz w:val="20"/>
                <w:szCs w:val="20"/>
              </w:rPr>
              <w:t>（2）入学资格审核手续齐全、及时的情况（4分）</w:t>
            </w:r>
          </w:p>
        </w:tc>
        <w:tc>
          <w:tcPr>
            <w:tcW w:w="2410" w:type="dxa"/>
            <w:vAlign w:val="center"/>
          </w:tcPr>
          <w:p>
            <w:pPr>
              <w:spacing w:line="260" w:lineRule="exact"/>
              <w:rPr>
                <w:sz w:val="20"/>
                <w:szCs w:val="20"/>
              </w:rPr>
            </w:pPr>
            <w:r>
              <w:rPr>
                <w:sz w:val="20"/>
                <w:szCs w:val="20"/>
              </w:rPr>
              <w:t>1．</w:t>
            </w:r>
            <w:r>
              <w:rPr>
                <w:b/>
                <w:sz w:val="20"/>
                <w:szCs w:val="20"/>
              </w:rPr>
              <w:t>逐级审核有盖章，将身份证和前置学历复印件（有扫描件同步）、报名表等报名材料装订成册，以便查看</w:t>
            </w:r>
            <w:r>
              <w:rPr>
                <w:sz w:val="20"/>
                <w:szCs w:val="20"/>
              </w:rPr>
              <w:t>。</w:t>
            </w:r>
          </w:p>
          <w:p>
            <w:pPr>
              <w:spacing w:line="260" w:lineRule="exact"/>
              <w:rPr>
                <w:sz w:val="20"/>
                <w:szCs w:val="20"/>
              </w:rPr>
            </w:pPr>
            <w:r>
              <w:rPr>
                <w:sz w:val="20"/>
                <w:szCs w:val="20"/>
              </w:rPr>
              <w:t>2．重点看专科、审核章、审核人员资历、审核程序、证件真假等。（网上报名形式</w:t>
            </w:r>
            <w:r>
              <w:rPr>
                <w:rFonts w:hint="eastAsia"/>
                <w:sz w:val="20"/>
                <w:szCs w:val="20"/>
              </w:rPr>
              <w:t>须</w:t>
            </w:r>
            <w:r>
              <w:rPr>
                <w:sz w:val="20"/>
                <w:szCs w:val="20"/>
              </w:rPr>
              <w:t>有凭证）</w:t>
            </w:r>
          </w:p>
          <w:p>
            <w:pPr>
              <w:spacing w:line="260" w:lineRule="exact"/>
              <w:rPr>
                <w:sz w:val="20"/>
                <w:szCs w:val="20"/>
              </w:rPr>
            </w:pPr>
            <w:r>
              <w:rPr>
                <w:sz w:val="20"/>
                <w:szCs w:val="20"/>
              </w:rPr>
              <w:t>3．专家可对入学水平测试环节进行查验。</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199" w:hRule="atLeast"/>
          <w:jc w:val="center"/>
        </w:trPr>
        <w:tc>
          <w:tcPr>
            <w:tcW w:w="0" w:type="auto"/>
            <w:vMerge w:val="continue"/>
            <w:vAlign w:val="center"/>
          </w:tcPr>
          <w:p>
            <w:pPr>
              <w:spacing w:line="260" w:lineRule="exact"/>
              <w:jc w:val="center"/>
              <w:rPr>
                <w:sz w:val="20"/>
                <w:szCs w:val="20"/>
              </w:rPr>
            </w:pPr>
          </w:p>
        </w:tc>
        <w:tc>
          <w:tcPr>
            <w:tcW w:w="0" w:type="auto"/>
            <w:vAlign w:val="center"/>
          </w:tcPr>
          <w:p>
            <w:pPr>
              <w:spacing w:line="220" w:lineRule="exact"/>
              <w:rPr>
                <w:sz w:val="20"/>
                <w:szCs w:val="20"/>
              </w:rPr>
            </w:pPr>
            <w:r>
              <w:rPr>
                <w:sz w:val="20"/>
                <w:szCs w:val="20"/>
              </w:rPr>
              <w:t>4.2 线上线下教学的组织管理与实施效果（70分）</w:t>
            </w:r>
          </w:p>
        </w:tc>
        <w:tc>
          <w:tcPr>
            <w:tcW w:w="2951" w:type="dxa"/>
            <w:vAlign w:val="center"/>
          </w:tcPr>
          <w:p>
            <w:pPr>
              <w:spacing w:line="260" w:lineRule="exact"/>
              <w:rPr>
                <w:sz w:val="20"/>
                <w:szCs w:val="20"/>
              </w:rPr>
            </w:pPr>
            <w:r>
              <w:rPr>
                <w:sz w:val="20"/>
                <w:szCs w:val="20"/>
              </w:rPr>
              <w:t xml:space="preserve">4.2.1 </w:t>
            </w:r>
            <w:r>
              <w:rPr>
                <w:rFonts w:hint="eastAsia"/>
                <w:sz w:val="20"/>
                <w:szCs w:val="20"/>
              </w:rPr>
              <w:t>分校</w:t>
            </w:r>
            <w:r>
              <w:rPr>
                <w:sz w:val="20"/>
                <w:szCs w:val="20"/>
              </w:rPr>
              <w:t>在教学组织与运行过程中履职尽责；</w:t>
            </w:r>
            <w:r>
              <w:rPr>
                <w:rFonts w:hint="eastAsia"/>
                <w:sz w:val="20"/>
                <w:szCs w:val="20"/>
              </w:rPr>
              <w:t>分校</w:t>
            </w:r>
            <w:r>
              <w:rPr>
                <w:sz w:val="20"/>
                <w:szCs w:val="20"/>
              </w:rPr>
              <w:t>有措施督查</w:t>
            </w:r>
            <w:r>
              <w:rPr>
                <w:rFonts w:hint="eastAsia"/>
                <w:sz w:val="20"/>
                <w:szCs w:val="20"/>
              </w:rPr>
              <w:t>所辖教学点</w:t>
            </w:r>
            <w:r>
              <w:rPr>
                <w:sz w:val="20"/>
                <w:szCs w:val="20"/>
              </w:rPr>
              <w:t>开展面授、落实网上教学的情况（30分）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在教学组织与运行过程中履职尽责情况（15分）</w:t>
            </w:r>
          </w:p>
          <w:p>
            <w:pPr>
              <w:spacing w:line="260" w:lineRule="exact"/>
              <w:rPr>
                <w:color w:val="000000"/>
                <w:sz w:val="20"/>
                <w:szCs w:val="20"/>
              </w:rPr>
            </w:pPr>
            <w:r>
              <w:rPr>
                <w:color w:val="000000"/>
                <w:sz w:val="20"/>
                <w:szCs w:val="20"/>
              </w:rPr>
              <w:t>（2）</w:t>
            </w:r>
            <w:r>
              <w:rPr>
                <w:rFonts w:hint="eastAsia"/>
                <w:color w:val="000000"/>
                <w:sz w:val="20"/>
                <w:szCs w:val="20"/>
              </w:rPr>
              <w:t>分校</w:t>
            </w:r>
            <w:r>
              <w:rPr>
                <w:color w:val="000000"/>
                <w:sz w:val="20"/>
                <w:szCs w:val="20"/>
              </w:rPr>
              <w:t>有措施督查</w:t>
            </w:r>
            <w:r>
              <w:rPr>
                <w:rFonts w:hint="eastAsia"/>
                <w:color w:val="000000"/>
                <w:sz w:val="20"/>
                <w:szCs w:val="20"/>
              </w:rPr>
              <w:t>所辖</w:t>
            </w:r>
            <w:r>
              <w:rPr>
                <w:rFonts w:hint="eastAsia"/>
                <w:sz w:val="20"/>
                <w:szCs w:val="20"/>
              </w:rPr>
              <w:t>教学点</w:t>
            </w:r>
            <w:r>
              <w:rPr>
                <w:color w:val="000000"/>
                <w:sz w:val="20"/>
                <w:szCs w:val="20"/>
              </w:rPr>
              <w:t>开展面授、落实网上教学的情况（15分）</w:t>
            </w:r>
          </w:p>
        </w:tc>
        <w:tc>
          <w:tcPr>
            <w:tcW w:w="2410" w:type="dxa"/>
            <w:vAlign w:val="center"/>
          </w:tcPr>
          <w:p>
            <w:pPr>
              <w:spacing w:line="260" w:lineRule="exact"/>
              <w:rPr>
                <w:sz w:val="20"/>
                <w:szCs w:val="20"/>
              </w:rPr>
            </w:pPr>
            <w:r>
              <w:rPr>
                <w:sz w:val="20"/>
                <w:szCs w:val="20"/>
              </w:rPr>
              <w:t>分工、人员、措施、制度和机制、效果等；面授和网上教学的师生考勤、文档图片、数据查看等。</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773" w:hRule="atLeast"/>
          <w:jc w:val="center"/>
        </w:trPr>
        <w:tc>
          <w:tcPr>
            <w:tcW w:w="0" w:type="auto"/>
            <w:vMerge w:val="restart"/>
            <w:vAlign w:val="center"/>
          </w:tcPr>
          <w:p>
            <w:pPr>
              <w:spacing w:line="260" w:lineRule="exact"/>
              <w:jc w:val="center"/>
              <w:rPr>
                <w:sz w:val="20"/>
                <w:szCs w:val="20"/>
              </w:rPr>
            </w:pPr>
            <w:r>
              <w:rPr>
                <w:sz w:val="20"/>
                <w:szCs w:val="20"/>
              </w:rPr>
              <w:t>4</w:t>
            </w:r>
            <w:r>
              <w:rPr>
                <w:rFonts w:hint="eastAsia"/>
                <w:sz w:val="20"/>
                <w:szCs w:val="20"/>
              </w:rPr>
              <w:t>．</w:t>
            </w:r>
            <w:r>
              <w:rPr>
                <w:sz w:val="20"/>
                <w:szCs w:val="20"/>
              </w:rPr>
              <w:t>教学运行与效果</w:t>
            </w:r>
          </w:p>
          <w:p>
            <w:pPr>
              <w:spacing w:line="260" w:lineRule="exact"/>
              <w:jc w:val="center"/>
              <w:rPr>
                <w:sz w:val="20"/>
                <w:szCs w:val="20"/>
              </w:rPr>
            </w:pPr>
            <w:r>
              <w:rPr>
                <w:rFonts w:hint="eastAsia" w:ascii="宋体" w:hAnsi="宋体"/>
                <w:sz w:val="20"/>
                <w:szCs w:val="20"/>
              </w:rPr>
              <w:t>(</w:t>
            </w:r>
            <w:r>
              <w:rPr>
                <w:sz w:val="20"/>
                <w:szCs w:val="20"/>
              </w:rPr>
              <w:t>340分</w:t>
            </w:r>
            <w:r>
              <w:rPr>
                <w:rFonts w:hint="eastAsia" w:ascii="宋体" w:hAnsi="宋体"/>
                <w:sz w:val="20"/>
                <w:szCs w:val="20"/>
              </w:rPr>
              <w:t>)</w:t>
            </w:r>
          </w:p>
        </w:tc>
        <w:tc>
          <w:tcPr>
            <w:tcW w:w="0" w:type="auto"/>
            <w:vMerge w:val="restart"/>
            <w:vAlign w:val="center"/>
          </w:tcPr>
          <w:p>
            <w:pPr>
              <w:spacing w:line="220" w:lineRule="exact"/>
              <w:rPr>
                <w:sz w:val="20"/>
                <w:szCs w:val="20"/>
              </w:rPr>
            </w:pPr>
            <w:r>
              <w:rPr>
                <w:sz w:val="20"/>
                <w:szCs w:val="20"/>
              </w:rPr>
              <w:t>4.2 线上线下教学的组织管理与实施效果（70分）</w:t>
            </w:r>
          </w:p>
        </w:tc>
        <w:tc>
          <w:tcPr>
            <w:tcW w:w="2951" w:type="dxa"/>
            <w:vAlign w:val="center"/>
          </w:tcPr>
          <w:p>
            <w:pPr>
              <w:spacing w:line="260" w:lineRule="exact"/>
              <w:rPr>
                <w:sz w:val="20"/>
                <w:szCs w:val="20"/>
              </w:rPr>
            </w:pPr>
            <w:r>
              <w:rPr>
                <w:sz w:val="20"/>
                <w:szCs w:val="20"/>
              </w:rPr>
              <w:t>4.2.2 有教学团队人员资金等方面的支持的政策、评价激励办法。积极参与</w:t>
            </w:r>
            <w:r>
              <w:rPr>
                <w:rFonts w:hint="eastAsia"/>
                <w:sz w:val="20"/>
                <w:szCs w:val="20"/>
              </w:rPr>
              <w:t>各层级网络教学</w:t>
            </w:r>
            <w:r>
              <w:rPr>
                <w:sz w:val="20"/>
                <w:szCs w:val="20"/>
              </w:rPr>
              <w:t>团队工作</w:t>
            </w:r>
            <w:r>
              <w:rPr>
                <w:rFonts w:hint="eastAsia"/>
                <w:sz w:val="20"/>
                <w:szCs w:val="20"/>
              </w:rPr>
              <w:t>，且</w:t>
            </w:r>
            <w:r>
              <w:rPr>
                <w:sz w:val="20"/>
                <w:szCs w:val="20"/>
              </w:rPr>
              <w:t>能够</w:t>
            </w:r>
            <w:r>
              <w:rPr>
                <w:rFonts w:hint="eastAsia"/>
                <w:sz w:val="20"/>
                <w:szCs w:val="20"/>
              </w:rPr>
              <w:t>有效开展各类学习支持服务</w:t>
            </w:r>
            <w:r>
              <w:rPr>
                <w:sz w:val="20"/>
                <w:szCs w:val="20"/>
              </w:rPr>
              <w:t>。（20分）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对教学团队工作出台的管理和激励办法及落实情况（8分）</w:t>
            </w:r>
          </w:p>
          <w:p>
            <w:pPr>
              <w:spacing w:line="260" w:lineRule="exact"/>
              <w:rPr>
                <w:color w:val="000000"/>
                <w:sz w:val="20"/>
                <w:szCs w:val="20"/>
              </w:rPr>
            </w:pPr>
            <w:r>
              <w:rPr>
                <w:color w:val="000000"/>
                <w:sz w:val="20"/>
                <w:szCs w:val="20"/>
              </w:rPr>
              <w:t>（2）</w:t>
            </w:r>
            <w:r>
              <w:rPr>
                <w:rFonts w:hint="eastAsia"/>
                <w:color w:val="000000"/>
                <w:sz w:val="20"/>
                <w:szCs w:val="20"/>
              </w:rPr>
              <w:t>分校教师参与国开网络教学核心团队及</w:t>
            </w:r>
            <w:r>
              <w:rPr>
                <w:rFonts w:hint="eastAsia"/>
                <w:sz w:val="20"/>
                <w:szCs w:val="20"/>
              </w:rPr>
              <w:t>省校网络</w:t>
            </w:r>
            <w:r>
              <w:rPr>
                <w:color w:val="000000"/>
                <w:sz w:val="20"/>
                <w:szCs w:val="20"/>
              </w:rPr>
              <w:t>教学实施团队的数量（6分）</w:t>
            </w:r>
          </w:p>
          <w:p>
            <w:pPr>
              <w:spacing w:line="260" w:lineRule="exact"/>
              <w:rPr>
                <w:color w:val="000000"/>
                <w:sz w:val="20"/>
                <w:szCs w:val="20"/>
              </w:rPr>
            </w:pPr>
            <w:r>
              <w:rPr>
                <w:color w:val="000000"/>
                <w:sz w:val="20"/>
                <w:szCs w:val="20"/>
              </w:rPr>
              <w:t>（3）参</w:t>
            </w:r>
            <w:r>
              <w:rPr>
                <w:rFonts w:hint="eastAsia"/>
                <w:color w:val="000000"/>
                <w:sz w:val="20"/>
                <w:szCs w:val="20"/>
              </w:rPr>
              <w:t>与核心团队及实施团队</w:t>
            </w:r>
            <w:r>
              <w:rPr>
                <w:color w:val="000000"/>
                <w:sz w:val="20"/>
                <w:szCs w:val="20"/>
              </w:rPr>
              <w:t>工作</w:t>
            </w:r>
            <w:r>
              <w:rPr>
                <w:rFonts w:hint="eastAsia"/>
                <w:color w:val="000000"/>
                <w:sz w:val="20"/>
                <w:szCs w:val="20"/>
              </w:rPr>
              <w:t>，为学生提供学习支持服务情况</w:t>
            </w:r>
            <w:r>
              <w:rPr>
                <w:color w:val="000000"/>
                <w:sz w:val="20"/>
                <w:szCs w:val="20"/>
              </w:rPr>
              <w:t>（6分）</w:t>
            </w:r>
          </w:p>
        </w:tc>
        <w:tc>
          <w:tcPr>
            <w:tcW w:w="2410" w:type="dxa"/>
            <w:vAlign w:val="center"/>
          </w:tcPr>
          <w:p>
            <w:pPr>
              <w:spacing w:line="260" w:lineRule="exact"/>
              <w:rPr>
                <w:sz w:val="20"/>
                <w:szCs w:val="20"/>
              </w:rPr>
            </w:pPr>
            <w:r>
              <w:rPr>
                <w:rFonts w:hint="eastAsia"/>
                <w:sz w:val="20"/>
                <w:szCs w:val="20"/>
              </w:rPr>
              <w:t>查看分校</w:t>
            </w:r>
            <w:r>
              <w:rPr>
                <w:sz w:val="20"/>
                <w:szCs w:val="20"/>
              </w:rPr>
              <w:t>配套政策；参与</w:t>
            </w:r>
            <w:r>
              <w:rPr>
                <w:rFonts w:hint="eastAsia"/>
                <w:sz w:val="20"/>
                <w:szCs w:val="20"/>
              </w:rPr>
              <w:t>各层级网络</w:t>
            </w:r>
            <w:r>
              <w:rPr>
                <w:color w:val="000000"/>
                <w:sz w:val="20"/>
                <w:szCs w:val="20"/>
              </w:rPr>
              <w:t>教学</w:t>
            </w:r>
            <w:r>
              <w:rPr>
                <w:sz w:val="20"/>
                <w:szCs w:val="20"/>
              </w:rPr>
              <w:t>团队的人数、涉及专业、</w:t>
            </w:r>
            <w:r>
              <w:rPr>
                <w:rFonts w:hint="eastAsia"/>
                <w:sz w:val="20"/>
                <w:szCs w:val="20"/>
              </w:rPr>
              <w:t>工作开展情况及参与</w:t>
            </w:r>
            <w:r>
              <w:rPr>
                <w:sz w:val="20"/>
                <w:szCs w:val="20"/>
              </w:rPr>
              <w:t>效果等。</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564"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rFonts w:hint="eastAsia"/>
                <w:sz w:val="20"/>
                <w:szCs w:val="20"/>
              </w:rPr>
              <w:t>★</w:t>
            </w:r>
            <w:r>
              <w:rPr>
                <w:sz w:val="20"/>
                <w:szCs w:val="20"/>
              </w:rPr>
              <w:t>4.2.3 国开学习网上的教与学关键数据指标良好（20分）</w:t>
            </w:r>
          </w:p>
        </w:tc>
        <w:tc>
          <w:tcPr>
            <w:tcW w:w="3544" w:type="dxa"/>
            <w:vAlign w:val="center"/>
          </w:tcPr>
          <w:p>
            <w:pPr>
              <w:spacing w:line="260" w:lineRule="exact"/>
              <w:rPr>
                <w:color w:val="000000"/>
                <w:sz w:val="20"/>
                <w:szCs w:val="20"/>
              </w:rPr>
            </w:pPr>
            <w:r>
              <w:rPr>
                <w:color w:val="000000"/>
                <w:sz w:val="20"/>
                <w:szCs w:val="20"/>
              </w:rPr>
              <w:t>（1）教师平均在线天数（4分）</w:t>
            </w:r>
          </w:p>
          <w:p>
            <w:pPr>
              <w:spacing w:line="260" w:lineRule="exact"/>
              <w:rPr>
                <w:color w:val="000000"/>
                <w:sz w:val="20"/>
                <w:szCs w:val="20"/>
              </w:rPr>
            </w:pPr>
            <w:r>
              <w:rPr>
                <w:color w:val="000000"/>
                <w:sz w:val="20"/>
                <w:szCs w:val="20"/>
              </w:rPr>
              <w:t>（2）学生平均在线天数（4分）</w:t>
            </w:r>
          </w:p>
          <w:p>
            <w:pPr>
              <w:spacing w:line="260" w:lineRule="exact"/>
              <w:rPr>
                <w:color w:val="000000"/>
                <w:sz w:val="20"/>
                <w:szCs w:val="20"/>
              </w:rPr>
            </w:pPr>
            <w:r>
              <w:rPr>
                <w:color w:val="000000"/>
                <w:sz w:val="20"/>
                <w:szCs w:val="20"/>
              </w:rPr>
              <w:t>（3）教师人均在线行为次数（4分）</w:t>
            </w:r>
          </w:p>
          <w:p>
            <w:pPr>
              <w:spacing w:line="260" w:lineRule="exact"/>
              <w:rPr>
                <w:color w:val="000000"/>
                <w:sz w:val="20"/>
                <w:szCs w:val="20"/>
              </w:rPr>
            </w:pPr>
            <w:r>
              <w:rPr>
                <w:color w:val="000000"/>
                <w:sz w:val="20"/>
                <w:szCs w:val="20"/>
              </w:rPr>
              <w:t>（4）生均在线学习行为次数（4分）</w:t>
            </w:r>
          </w:p>
          <w:p>
            <w:pPr>
              <w:spacing w:line="260" w:lineRule="exact"/>
              <w:rPr>
                <w:color w:val="000000"/>
                <w:sz w:val="20"/>
                <w:szCs w:val="20"/>
              </w:rPr>
            </w:pPr>
            <w:r>
              <w:rPr>
                <w:color w:val="000000"/>
                <w:sz w:val="20"/>
                <w:szCs w:val="20"/>
              </w:rPr>
              <w:t>（5）学生帖回复率（4分）</w:t>
            </w:r>
          </w:p>
        </w:tc>
        <w:tc>
          <w:tcPr>
            <w:tcW w:w="2410" w:type="dxa"/>
            <w:vAlign w:val="center"/>
          </w:tcPr>
          <w:p>
            <w:pPr>
              <w:spacing w:line="260" w:lineRule="exact"/>
              <w:rPr>
                <w:sz w:val="20"/>
                <w:szCs w:val="20"/>
              </w:rPr>
            </w:pPr>
            <w:r>
              <w:rPr>
                <w:rFonts w:hint="eastAsia"/>
                <w:sz w:val="20"/>
                <w:szCs w:val="20"/>
              </w:rPr>
              <w:t>重点查看</w:t>
            </w:r>
            <w:r>
              <w:rPr>
                <w:rFonts w:hint="eastAsia"/>
                <w:b/>
                <w:sz w:val="20"/>
                <w:szCs w:val="20"/>
              </w:rPr>
              <w:t>观测点中5项</w:t>
            </w:r>
            <w:r>
              <w:rPr>
                <w:b/>
                <w:sz w:val="20"/>
                <w:szCs w:val="20"/>
              </w:rPr>
              <w:t>数据</w:t>
            </w:r>
            <w:r>
              <w:rPr>
                <w:rFonts w:hint="eastAsia"/>
                <w:sz w:val="20"/>
                <w:szCs w:val="20"/>
              </w:rPr>
              <w:t>。</w:t>
            </w:r>
            <w:r>
              <w:rPr>
                <w:sz w:val="20"/>
                <w:szCs w:val="20"/>
              </w:rPr>
              <w:t>主要看当年，其次看近三年趋势。</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75"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4.3 实践教学（40分）</w:t>
            </w:r>
          </w:p>
        </w:tc>
        <w:tc>
          <w:tcPr>
            <w:tcW w:w="2951" w:type="dxa"/>
            <w:vAlign w:val="center"/>
          </w:tcPr>
          <w:p>
            <w:pPr>
              <w:spacing w:line="260" w:lineRule="exact"/>
              <w:rPr>
                <w:sz w:val="20"/>
                <w:szCs w:val="20"/>
              </w:rPr>
            </w:pPr>
            <w:r>
              <w:rPr>
                <w:sz w:val="20"/>
                <w:szCs w:val="20"/>
              </w:rPr>
              <w:t>4.3.1 有实践教学基地和能够满足专业课程实践教学需要的虚拟仿真实训软件或线下实践环境，落实课程实践教学（20分）</w:t>
            </w:r>
          </w:p>
        </w:tc>
        <w:tc>
          <w:tcPr>
            <w:tcW w:w="3544" w:type="dxa"/>
            <w:vAlign w:val="center"/>
          </w:tcPr>
          <w:p>
            <w:pPr>
              <w:spacing w:line="260" w:lineRule="exact"/>
              <w:rPr>
                <w:color w:val="000000"/>
                <w:sz w:val="20"/>
                <w:szCs w:val="20"/>
              </w:rPr>
            </w:pPr>
            <w:r>
              <w:rPr>
                <w:color w:val="000000"/>
                <w:sz w:val="20"/>
                <w:szCs w:val="20"/>
              </w:rPr>
              <w:t>（1）实践教学基地和满足专业课程实践教学需要的虚拟仿真实训软件或线下实践环境情况（10分）</w:t>
            </w:r>
          </w:p>
          <w:p>
            <w:pPr>
              <w:spacing w:line="260" w:lineRule="exact"/>
              <w:rPr>
                <w:color w:val="000000"/>
                <w:sz w:val="20"/>
                <w:szCs w:val="20"/>
              </w:rPr>
            </w:pPr>
            <w:r>
              <w:rPr>
                <w:color w:val="000000"/>
                <w:sz w:val="20"/>
                <w:szCs w:val="20"/>
              </w:rPr>
              <w:t>（2）与合作方签订有效的实践教学协议，实践教学开展记录的情况（10分）</w:t>
            </w:r>
          </w:p>
        </w:tc>
        <w:tc>
          <w:tcPr>
            <w:tcW w:w="2410" w:type="dxa"/>
            <w:vAlign w:val="center"/>
          </w:tcPr>
          <w:p>
            <w:pPr>
              <w:spacing w:line="260" w:lineRule="exact"/>
              <w:rPr>
                <w:sz w:val="20"/>
                <w:szCs w:val="20"/>
              </w:rPr>
            </w:pPr>
            <w:r>
              <w:rPr>
                <w:sz w:val="20"/>
                <w:szCs w:val="20"/>
              </w:rPr>
              <w:t>综合实践课不低于8学分。重点看协议及图片，同时专家会参观实际场地。评价时关注相关新闻报道、实践计划、实施、效果检验、学生反馈等。</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3086"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4.3.2 毕业实践环节教师指导人数符合规定且指导充分。毕业答辩、审核过程规范、结果严谨（20分）</w:t>
            </w:r>
          </w:p>
        </w:tc>
        <w:tc>
          <w:tcPr>
            <w:tcW w:w="3544" w:type="dxa"/>
            <w:vAlign w:val="center"/>
          </w:tcPr>
          <w:p>
            <w:pPr>
              <w:spacing w:line="260" w:lineRule="exact"/>
              <w:rPr>
                <w:color w:val="000000"/>
                <w:sz w:val="20"/>
                <w:szCs w:val="20"/>
              </w:rPr>
            </w:pPr>
            <w:r>
              <w:rPr>
                <w:color w:val="000000"/>
                <w:sz w:val="20"/>
                <w:szCs w:val="20"/>
              </w:rPr>
              <w:t>（1）有每学期指导教师名单和学生名单，指导人数符合规定（4分）</w:t>
            </w:r>
          </w:p>
          <w:p>
            <w:pPr>
              <w:spacing w:line="260" w:lineRule="exact"/>
              <w:rPr>
                <w:color w:val="000000"/>
                <w:sz w:val="20"/>
                <w:szCs w:val="20"/>
              </w:rPr>
            </w:pPr>
            <w:r>
              <w:rPr>
                <w:color w:val="000000"/>
                <w:sz w:val="20"/>
                <w:szCs w:val="20"/>
              </w:rPr>
              <w:t>（2）论文指导正确到位的情况（8分）</w:t>
            </w:r>
          </w:p>
          <w:p>
            <w:pPr>
              <w:spacing w:line="260" w:lineRule="exact"/>
              <w:rPr>
                <w:rFonts w:eastAsia="仿宋_GB2312"/>
                <w:color w:val="000000"/>
                <w:sz w:val="20"/>
                <w:szCs w:val="20"/>
              </w:rPr>
            </w:pPr>
            <w:r>
              <w:rPr>
                <w:color w:val="000000"/>
                <w:sz w:val="20"/>
                <w:szCs w:val="20"/>
              </w:rPr>
              <w:t>（3）毕业答辩和审核管理规范的情况（8分）</w:t>
            </w:r>
          </w:p>
        </w:tc>
        <w:tc>
          <w:tcPr>
            <w:tcW w:w="2410" w:type="dxa"/>
            <w:vAlign w:val="center"/>
          </w:tcPr>
          <w:p>
            <w:pPr>
              <w:spacing w:line="260" w:lineRule="exact"/>
              <w:rPr>
                <w:sz w:val="20"/>
                <w:szCs w:val="20"/>
              </w:rPr>
            </w:pPr>
            <w:r>
              <w:rPr>
                <w:sz w:val="20"/>
                <w:szCs w:val="20"/>
              </w:rPr>
              <w:t>本项指标</w:t>
            </w:r>
            <w:r>
              <w:rPr>
                <w:b/>
                <w:sz w:val="20"/>
                <w:szCs w:val="20"/>
              </w:rPr>
              <w:t>重点看教师指导和答辩记录</w:t>
            </w:r>
            <w:r>
              <w:rPr>
                <w:sz w:val="20"/>
                <w:szCs w:val="20"/>
              </w:rPr>
              <w:t>。指导教师和学生名单分学期提供，体现教师指导人数、资质、指导过程及指导效果（同一个教师不同专业指导情况、是否存在低资高配、跨专业或者超额指导、是否存在指导不认真、不专业、不到位）；答辩主持人资格、答辩成员符合要求、答辩记录符合答辩实际；审核规范（有痕迹）、问题及回答规范（指导教师答辩回避原则；答辩组至少有一个高级职称）</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restart"/>
            <w:vAlign w:val="center"/>
          </w:tcPr>
          <w:p>
            <w:pPr>
              <w:spacing w:line="260" w:lineRule="exact"/>
              <w:jc w:val="center"/>
              <w:rPr>
                <w:sz w:val="20"/>
                <w:szCs w:val="20"/>
              </w:rPr>
            </w:pPr>
            <w:r>
              <w:rPr>
                <w:sz w:val="20"/>
                <w:szCs w:val="20"/>
              </w:rPr>
              <w:t>4</w:t>
            </w:r>
            <w:r>
              <w:rPr>
                <w:rFonts w:hint="eastAsia"/>
                <w:sz w:val="20"/>
                <w:szCs w:val="20"/>
              </w:rPr>
              <w:t>．</w:t>
            </w:r>
            <w:r>
              <w:rPr>
                <w:sz w:val="20"/>
                <w:szCs w:val="20"/>
              </w:rPr>
              <w:t>教学运行与效果</w:t>
            </w:r>
          </w:p>
          <w:p>
            <w:pPr>
              <w:spacing w:line="260" w:lineRule="exact"/>
              <w:jc w:val="center"/>
              <w:rPr>
                <w:sz w:val="20"/>
                <w:szCs w:val="20"/>
              </w:rPr>
            </w:pPr>
            <w:r>
              <w:rPr>
                <w:rFonts w:hint="eastAsia" w:ascii="宋体" w:hAnsi="宋体"/>
                <w:sz w:val="20"/>
                <w:szCs w:val="20"/>
              </w:rPr>
              <w:t>(</w:t>
            </w:r>
            <w:r>
              <w:rPr>
                <w:sz w:val="20"/>
                <w:szCs w:val="20"/>
              </w:rPr>
              <w:t>340分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4.4 师德、思政与学生活动（20分）</w:t>
            </w:r>
          </w:p>
        </w:tc>
        <w:tc>
          <w:tcPr>
            <w:tcW w:w="2951" w:type="dxa"/>
            <w:vAlign w:val="center"/>
          </w:tcPr>
          <w:p>
            <w:pPr>
              <w:spacing w:line="240" w:lineRule="exact"/>
              <w:rPr>
                <w:strike/>
                <w:sz w:val="20"/>
                <w:szCs w:val="20"/>
              </w:rPr>
            </w:pPr>
            <w:r>
              <w:rPr>
                <w:sz w:val="20"/>
                <w:szCs w:val="20"/>
              </w:rPr>
              <w:t>4.4.1师德师风建设情况和落实</w:t>
            </w:r>
            <w:r>
              <w:rPr>
                <w:rFonts w:hint="eastAsia"/>
                <w:sz w:val="20"/>
                <w:szCs w:val="20"/>
              </w:rPr>
              <w:t>省校</w:t>
            </w:r>
            <w:r>
              <w:rPr>
                <w:sz w:val="20"/>
                <w:szCs w:val="20"/>
              </w:rPr>
              <w:t>教师行为规范情况；思政课程教学、研究、培训，落实推进课程思政开展情况及效果（10分）</w:t>
            </w:r>
          </w:p>
        </w:tc>
        <w:tc>
          <w:tcPr>
            <w:tcW w:w="3544" w:type="dxa"/>
            <w:vAlign w:val="center"/>
          </w:tcPr>
          <w:p>
            <w:pPr>
              <w:spacing w:line="240" w:lineRule="exact"/>
              <w:rPr>
                <w:color w:val="000000"/>
                <w:sz w:val="20"/>
                <w:szCs w:val="20"/>
              </w:rPr>
            </w:pPr>
            <w:r>
              <w:rPr>
                <w:color w:val="000000"/>
                <w:sz w:val="20"/>
                <w:szCs w:val="20"/>
              </w:rPr>
              <w:t>（1）师德师风建设情况和落实</w:t>
            </w:r>
            <w:r>
              <w:rPr>
                <w:rFonts w:hint="eastAsia"/>
                <w:color w:val="000000"/>
                <w:sz w:val="20"/>
                <w:szCs w:val="20"/>
              </w:rPr>
              <w:t>省校</w:t>
            </w:r>
            <w:r>
              <w:rPr>
                <w:color w:val="000000"/>
                <w:sz w:val="20"/>
                <w:szCs w:val="20"/>
              </w:rPr>
              <w:t>教师行为规范情况（5分）</w:t>
            </w:r>
          </w:p>
          <w:p>
            <w:pPr>
              <w:spacing w:line="240" w:lineRule="exact"/>
              <w:rPr>
                <w:rFonts w:eastAsia="仿宋_GB2312"/>
                <w:color w:val="000000"/>
                <w:sz w:val="20"/>
                <w:szCs w:val="20"/>
              </w:rPr>
            </w:pPr>
            <w:r>
              <w:rPr>
                <w:color w:val="000000"/>
                <w:sz w:val="20"/>
                <w:szCs w:val="20"/>
              </w:rPr>
              <w:t>（2）思政课程教学、研究、培训，落实推进课程思政开展情况及效果（5分）</w:t>
            </w:r>
          </w:p>
        </w:tc>
        <w:tc>
          <w:tcPr>
            <w:tcW w:w="2410" w:type="dxa"/>
            <w:vAlign w:val="center"/>
          </w:tcPr>
          <w:p>
            <w:pPr>
              <w:spacing w:line="240" w:lineRule="exact"/>
              <w:rPr>
                <w:sz w:val="20"/>
                <w:szCs w:val="20"/>
              </w:rPr>
            </w:pPr>
            <w:r>
              <w:rPr>
                <w:b/>
                <w:sz w:val="20"/>
                <w:szCs w:val="20"/>
              </w:rPr>
              <w:t>要注意保持和1.2.1的一致性</w:t>
            </w:r>
            <w:r>
              <w:rPr>
                <w:sz w:val="20"/>
                <w:szCs w:val="20"/>
              </w:rPr>
              <w:t>，在支撑1.2.1基础上展现教学模式、</w:t>
            </w:r>
            <w:r>
              <w:rPr>
                <w:rFonts w:hint="eastAsia"/>
                <w:sz w:val="20"/>
                <w:szCs w:val="20"/>
              </w:rPr>
              <w:t>教学点</w:t>
            </w:r>
            <w:r>
              <w:rPr>
                <w:sz w:val="20"/>
                <w:szCs w:val="20"/>
              </w:rPr>
              <w:t>差异、特色、效果，有数据、有图片（如有视频及学习网资料更好）等。</w:t>
            </w:r>
          </w:p>
          <w:p>
            <w:pPr>
              <w:spacing w:line="240" w:lineRule="exact"/>
              <w:rPr>
                <w:sz w:val="20"/>
                <w:szCs w:val="20"/>
              </w:rPr>
            </w:pPr>
            <w:r>
              <w:rPr>
                <w:sz w:val="20"/>
                <w:szCs w:val="20"/>
              </w:rPr>
              <w:t>另外提供教师的学习支持服务及师德体现相关材料。</w:t>
            </w:r>
          </w:p>
        </w:tc>
        <w:tc>
          <w:tcPr>
            <w:tcW w:w="1134" w:type="dxa"/>
            <w:vMerge w:val="continue"/>
            <w:vAlign w:val="center"/>
          </w:tcPr>
          <w:p>
            <w:pPr>
              <w:spacing w:line="240" w:lineRule="exact"/>
              <w:ind w:firstLine="201" w:firstLineChars="100"/>
              <w:jc w:val="center"/>
              <w:rPr>
                <w:b/>
                <w:sz w:val="20"/>
                <w:szCs w:val="20"/>
              </w:rPr>
            </w:pPr>
          </w:p>
        </w:tc>
        <w:tc>
          <w:tcPr>
            <w:tcW w:w="850" w:type="dxa"/>
            <w:vAlign w:val="center"/>
          </w:tcPr>
          <w:p>
            <w:pPr>
              <w:spacing w:line="240" w:lineRule="exact"/>
              <w:ind w:firstLine="201" w:firstLineChars="100"/>
              <w:jc w:val="cente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sz w:val="20"/>
                <w:szCs w:val="20"/>
              </w:rPr>
              <w:t>4.4.2 学生思想政治教育，学生社团、党团等组织立德树人教育活动开展情况及效果（10分）</w:t>
            </w:r>
          </w:p>
        </w:tc>
        <w:tc>
          <w:tcPr>
            <w:tcW w:w="3544" w:type="dxa"/>
            <w:vAlign w:val="center"/>
          </w:tcPr>
          <w:p>
            <w:pPr>
              <w:spacing w:line="240" w:lineRule="exact"/>
              <w:rPr>
                <w:color w:val="000000"/>
                <w:sz w:val="20"/>
                <w:szCs w:val="20"/>
              </w:rPr>
            </w:pPr>
            <w:r>
              <w:rPr>
                <w:color w:val="000000"/>
                <w:sz w:val="20"/>
                <w:szCs w:val="20"/>
              </w:rPr>
              <w:t>（1）学生思政教育、立德树人教育活动的记录和效果（6分）</w:t>
            </w:r>
          </w:p>
          <w:p>
            <w:pPr>
              <w:spacing w:line="240" w:lineRule="exact"/>
              <w:rPr>
                <w:rFonts w:eastAsia="仿宋_GB2312"/>
                <w:color w:val="000000"/>
                <w:sz w:val="20"/>
                <w:szCs w:val="20"/>
              </w:rPr>
            </w:pPr>
            <w:r>
              <w:rPr>
                <w:color w:val="000000"/>
                <w:sz w:val="20"/>
                <w:szCs w:val="20"/>
              </w:rPr>
              <w:t>（2）学生社团活动及学生参与度、学生党团组织及运行情况（4分）</w:t>
            </w:r>
          </w:p>
        </w:tc>
        <w:tc>
          <w:tcPr>
            <w:tcW w:w="2410" w:type="dxa"/>
            <w:vAlign w:val="center"/>
          </w:tcPr>
          <w:p>
            <w:pPr>
              <w:spacing w:line="240" w:lineRule="exact"/>
              <w:rPr>
                <w:sz w:val="20"/>
                <w:szCs w:val="20"/>
              </w:rPr>
            </w:pPr>
            <w:r>
              <w:rPr>
                <w:sz w:val="20"/>
                <w:szCs w:val="20"/>
              </w:rPr>
              <w:t>重点看思政教育实施的平台、形式、效果；学生反馈渠道、活动记录、应急措施等。</w:t>
            </w:r>
          </w:p>
        </w:tc>
        <w:tc>
          <w:tcPr>
            <w:tcW w:w="1134" w:type="dxa"/>
            <w:vMerge w:val="continue"/>
            <w:vAlign w:val="center"/>
          </w:tcPr>
          <w:p>
            <w:pPr>
              <w:spacing w:line="240" w:lineRule="exact"/>
              <w:ind w:firstLine="200" w:firstLineChars="100"/>
              <w:jc w:val="center"/>
              <w:rPr>
                <w:sz w:val="20"/>
                <w:szCs w:val="20"/>
              </w:rPr>
            </w:pPr>
          </w:p>
        </w:tc>
        <w:tc>
          <w:tcPr>
            <w:tcW w:w="850" w:type="dxa"/>
            <w:vAlign w:val="center"/>
          </w:tcPr>
          <w:p>
            <w:pPr>
              <w:spacing w:line="240" w:lineRule="exact"/>
              <w:ind w:firstLine="200" w:firstLineChars="100"/>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4.5形成性考核和终结性考试的组织、实施、评阅和成绩管理（90分）</w:t>
            </w:r>
          </w:p>
        </w:tc>
        <w:tc>
          <w:tcPr>
            <w:tcW w:w="2951" w:type="dxa"/>
            <w:vAlign w:val="center"/>
          </w:tcPr>
          <w:p>
            <w:pPr>
              <w:spacing w:line="240" w:lineRule="exact"/>
              <w:rPr>
                <w:sz w:val="20"/>
                <w:szCs w:val="20"/>
              </w:rPr>
            </w:pPr>
            <w:r>
              <w:rPr>
                <w:sz w:val="20"/>
                <w:szCs w:val="20"/>
              </w:rPr>
              <w:t>4.5.1认真执行形成性考核的规定和要求，评阅和成绩管理严格，存档规范（15分）</w:t>
            </w:r>
          </w:p>
        </w:tc>
        <w:tc>
          <w:tcPr>
            <w:tcW w:w="3544" w:type="dxa"/>
            <w:vAlign w:val="center"/>
          </w:tcPr>
          <w:p>
            <w:pPr>
              <w:spacing w:line="240" w:lineRule="exact"/>
              <w:rPr>
                <w:color w:val="000000"/>
                <w:sz w:val="20"/>
                <w:szCs w:val="20"/>
              </w:rPr>
            </w:pPr>
            <w:r>
              <w:rPr>
                <w:color w:val="000000"/>
                <w:sz w:val="20"/>
                <w:szCs w:val="20"/>
              </w:rPr>
              <w:t>（1）纸质形考作业评阅过程中教师签名、打分的情况，在作业评阅中体现教学反馈情况（7分）</w:t>
            </w:r>
          </w:p>
          <w:p>
            <w:pPr>
              <w:spacing w:line="240" w:lineRule="exact"/>
              <w:rPr>
                <w:color w:val="000000"/>
                <w:sz w:val="20"/>
                <w:szCs w:val="20"/>
              </w:rPr>
            </w:pPr>
            <w:r>
              <w:rPr>
                <w:color w:val="000000"/>
                <w:sz w:val="20"/>
                <w:szCs w:val="20"/>
              </w:rPr>
              <w:t>（2）网上形考作业提交、批改、登分情况（6分）</w:t>
            </w:r>
          </w:p>
          <w:p>
            <w:pPr>
              <w:spacing w:line="240" w:lineRule="exact"/>
              <w:rPr>
                <w:color w:val="000000"/>
                <w:sz w:val="20"/>
                <w:szCs w:val="20"/>
              </w:rPr>
            </w:pPr>
            <w:r>
              <w:rPr>
                <w:color w:val="000000"/>
                <w:sz w:val="20"/>
                <w:szCs w:val="20"/>
              </w:rPr>
              <w:t>（3）存档规范情况（2分）</w:t>
            </w:r>
          </w:p>
        </w:tc>
        <w:tc>
          <w:tcPr>
            <w:tcW w:w="2410" w:type="dxa"/>
            <w:vAlign w:val="center"/>
          </w:tcPr>
          <w:p>
            <w:pPr>
              <w:spacing w:line="240" w:lineRule="exact"/>
              <w:rPr>
                <w:b/>
                <w:color w:val="000000"/>
                <w:sz w:val="20"/>
                <w:szCs w:val="20"/>
              </w:rPr>
            </w:pPr>
            <w:r>
              <w:rPr>
                <w:b/>
                <w:color w:val="000000"/>
                <w:sz w:val="20"/>
                <w:szCs w:val="20"/>
              </w:rPr>
              <w:t>一方面看文件制度、文档管理，注意签字及审核程序的规范；一方面看教师态度、评阅资格、评阅是否规范、是否随意给分、笔迹是否雷同、形考作业是否存在造假。</w:t>
            </w:r>
          </w:p>
        </w:tc>
        <w:tc>
          <w:tcPr>
            <w:tcW w:w="1134" w:type="dxa"/>
            <w:vMerge w:val="continue"/>
            <w:vAlign w:val="center"/>
          </w:tcPr>
          <w:p>
            <w:pPr>
              <w:spacing w:line="240" w:lineRule="exact"/>
              <w:ind w:firstLine="201" w:firstLineChars="100"/>
              <w:jc w:val="center"/>
              <w:rPr>
                <w:b/>
                <w:color w:val="000000"/>
                <w:sz w:val="20"/>
                <w:szCs w:val="20"/>
              </w:rPr>
            </w:pPr>
          </w:p>
        </w:tc>
        <w:tc>
          <w:tcPr>
            <w:tcW w:w="850" w:type="dxa"/>
            <w:vAlign w:val="center"/>
          </w:tcPr>
          <w:p>
            <w:pPr>
              <w:spacing w:line="240" w:lineRule="exact"/>
              <w:ind w:firstLine="201" w:firstLineChars="100"/>
              <w:jc w:val="cente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sz w:val="20"/>
                <w:szCs w:val="20"/>
              </w:rPr>
              <w:t>4.5.2有定期检查形成性考核完成情况和评阅质量的机制（20分）</w:t>
            </w:r>
          </w:p>
        </w:tc>
        <w:tc>
          <w:tcPr>
            <w:tcW w:w="3544" w:type="dxa"/>
            <w:vAlign w:val="center"/>
          </w:tcPr>
          <w:p>
            <w:pPr>
              <w:spacing w:line="240" w:lineRule="exact"/>
              <w:rPr>
                <w:color w:val="000000"/>
                <w:sz w:val="20"/>
                <w:szCs w:val="20"/>
              </w:rPr>
            </w:pPr>
            <w:r>
              <w:rPr>
                <w:color w:val="000000"/>
                <w:sz w:val="20"/>
                <w:szCs w:val="20"/>
              </w:rPr>
              <w:t>定期检查形成性考核完成情况和评阅质量的机制情况（20分）</w:t>
            </w:r>
          </w:p>
        </w:tc>
        <w:tc>
          <w:tcPr>
            <w:tcW w:w="2410" w:type="dxa"/>
            <w:vAlign w:val="center"/>
          </w:tcPr>
          <w:p>
            <w:pPr>
              <w:spacing w:line="240" w:lineRule="exact"/>
              <w:rPr>
                <w:color w:val="000000"/>
                <w:sz w:val="20"/>
                <w:szCs w:val="20"/>
              </w:rPr>
            </w:pPr>
            <w:r>
              <w:rPr>
                <w:sz w:val="20"/>
              </w:rPr>
              <mc:AlternateContent>
                <mc:Choice Requires="wps">
                  <w:drawing>
                    <wp:anchor distT="0" distB="0" distL="114300" distR="114300" simplePos="0" relativeHeight="251667456" behindDoc="0" locked="0" layoutInCell="1" allowOverlap="1">
                      <wp:simplePos x="0" y="0"/>
                      <wp:positionH relativeFrom="column">
                        <wp:posOffset>1455420</wp:posOffset>
                      </wp:positionH>
                      <wp:positionV relativeFrom="paragraph">
                        <wp:posOffset>1221105</wp:posOffset>
                      </wp:positionV>
                      <wp:extent cx="752475" cy="0"/>
                      <wp:effectExtent l="0" t="6350" r="0" b="6350"/>
                      <wp:wrapNone/>
                      <wp:docPr id="11" name="直接连接符 11"/>
                      <wp:cNvGraphicFramePr/>
                      <a:graphic xmlns:a="http://schemas.openxmlformats.org/drawingml/2006/main">
                        <a:graphicData uri="http://schemas.microsoft.com/office/word/2010/wordprocessingShape">
                          <wps:wsp>
                            <wps:cNvCnPr/>
                            <wps:spPr>
                              <a:xfrm>
                                <a:off x="8303895" y="2755900"/>
                                <a:ext cx="752475"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114.6pt;margin-top:96.15pt;height:0pt;width:59.25pt;z-index:251667456;mso-width-relative:page;mso-height-relative:page;" filled="f" stroked="t" coordsize="21600,21600" o:gfxdata="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5wbMTZAAAACwEAAA8AAAAAAAAAAQAgAAAAIgAAAGRycy9kb3ducmV2LnhtbFBLAQIU&#10;ABQAAAAIAIdO4kA20Kd38gEAAL4DAAAOAAAAAAAAAAEAIAAAACgBAABkcnMvZTJvRG9jLnhtbFBL&#10;BQYAAAAABgAGAFkBAACMBQAAAAA=&#10;">
                      <v:fill on="f" focussize="0,0"/>
                      <v:stroke weight="1pt" color="#000000" miterlimit="8" joinstyle="miter"/>
                      <v:imagedata o:title=""/>
                      <o:lock v:ext="edit" aspectratio="f"/>
                    </v:line>
                  </w:pict>
                </mc:Fallback>
              </mc:AlternateContent>
            </w:r>
            <w:r>
              <w:rPr>
                <w:color w:val="000000"/>
                <w:sz w:val="20"/>
                <w:szCs w:val="20"/>
              </w:rPr>
              <w:t>查阅制度、机制与文档实际结果支撑一致，如：评阅登分、二核复审痕迹等。查阅重点是</w:t>
            </w:r>
            <w:r>
              <w:rPr>
                <w:rFonts w:hint="eastAsia"/>
                <w:color w:val="000000"/>
                <w:sz w:val="20"/>
                <w:szCs w:val="20"/>
              </w:rPr>
              <w:t>分校</w:t>
            </w:r>
            <w:r>
              <w:rPr>
                <w:color w:val="000000"/>
                <w:sz w:val="20"/>
                <w:szCs w:val="20"/>
              </w:rPr>
              <w:t>质量监管工作是否查验、指出问题、严格规范管理，是否具有自管自纠能力和主体责任落实。</w:t>
            </w:r>
          </w:p>
        </w:tc>
        <w:tc>
          <w:tcPr>
            <w:tcW w:w="1134" w:type="dxa"/>
            <w:vMerge w:val="continue"/>
            <w:vAlign w:val="center"/>
          </w:tcPr>
          <w:p>
            <w:pPr>
              <w:spacing w:line="240" w:lineRule="exact"/>
              <w:ind w:firstLine="200" w:firstLineChars="100"/>
              <w:jc w:val="center"/>
              <w:rPr>
                <w:color w:val="000000"/>
                <w:sz w:val="20"/>
                <w:szCs w:val="20"/>
              </w:rPr>
            </w:pPr>
          </w:p>
        </w:tc>
        <w:tc>
          <w:tcPr>
            <w:tcW w:w="850" w:type="dxa"/>
            <w:vAlign w:val="center"/>
          </w:tcPr>
          <w:p>
            <w:pPr>
              <w:spacing w:line="24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rFonts w:hint="eastAsia"/>
                <w:sz w:val="20"/>
                <w:szCs w:val="20"/>
              </w:rPr>
              <w:t>★</w:t>
            </w:r>
            <w:r>
              <w:rPr>
                <w:sz w:val="20"/>
                <w:szCs w:val="20"/>
              </w:rPr>
              <w:t>4.5.3 严格落实</w:t>
            </w:r>
            <w:r>
              <w:rPr>
                <w:rFonts w:hint="eastAsia"/>
                <w:sz w:val="20"/>
                <w:szCs w:val="20"/>
              </w:rPr>
              <w:t>省校</w:t>
            </w:r>
            <w:r>
              <w:rPr>
                <w:sz w:val="20"/>
                <w:szCs w:val="20"/>
              </w:rPr>
              <w:t>关于终结性考试的各项要求；考试组织与管理规范，认真组织考务人员业务培训，有效组织蹲考、巡考工作；有效落实学生诚信教育；严管考风考纪，对违纪学生及时处理、通报曝光（35分）</w:t>
            </w:r>
          </w:p>
        </w:tc>
        <w:tc>
          <w:tcPr>
            <w:tcW w:w="3544" w:type="dxa"/>
            <w:vAlign w:val="center"/>
          </w:tcPr>
          <w:p>
            <w:pPr>
              <w:spacing w:line="220" w:lineRule="exact"/>
              <w:rPr>
                <w:color w:val="000000"/>
                <w:sz w:val="20"/>
                <w:szCs w:val="20"/>
              </w:rPr>
            </w:pPr>
            <w:r>
              <w:rPr>
                <w:color w:val="000000"/>
                <w:sz w:val="20"/>
                <w:szCs w:val="20"/>
              </w:rPr>
              <w:t>（1）落实</w:t>
            </w:r>
            <w:r>
              <w:rPr>
                <w:rFonts w:hint="eastAsia"/>
                <w:sz w:val="20"/>
                <w:szCs w:val="20"/>
              </w:rPr>
              <w:t>省校</w:t>
            </w:r>
            <w:r>
              <w:rPr>
                <w:color w:val="000000"/>
                <w:sz w:val="20"/>
                <w:szCs w:val="20"/>
              </w:rPr>
              <w:t>终结性考试文件要求，及时下发并有效落实情况（5分）</w:t>
            </w:r>
          </w:p>
          <w:p>
            <w:pPr>
              <w:spacing w:line="220" w:lineRule="exact"/>
              <w:rPr>
                <w:color w:val="000000"/>
                <w:sz w:val="20"/>
                <w:szCs w:val="20"/>
              </w:rPr>
            </w:pPr>
            <w:r>
              <w:rPr>
                <w:color w:val="000000"/>
                <w:sz w:val="20"/>
                <w:szCs w:val="20"/>
              </w:rPr>
              <w:t>（2）组织考试工作人员（含主考、巡考人员、监考人员）业务培训和考核，落实考试工作人员持证上岗要求情况（10分）</w:t>
            </w:r>
          </w:p>
          <w:p>
            <w:pPr>
              <w:spacing w:line="220" w:lineRule="exact"/>
              <w:rPr>
                <w:color w:val="000000"/>
                <w:sz w:val="20"/>
                <w:szCs w:val="20"/>
              </w:rPr>
            </w:pPr>
            <w:r>
              <w:rPr>
                <w:color w:val="000000"/>
                <w:sz w:val="20"/>
                <w:szCs w:val="20"/>
              </w:rPr>
              <w:t>（3）有效组织蹲考、巡考工作情况（8分）</w:t>
            </w:r>
          </w:p>
          <w:p>
            <w:pPr>
              <w:spacing w:line="220" w:lineRule="exact"/>
              <w:rPr>
                <w:color w:val="000000"/>
                <w:sz w:val="20"/>
                <w:szCs w:val="20"/>
              </w:rPr>
            </w:pPr>
            <w:r>
              <w:rPr>
                <w:color w:val="000000"/>
                <w:sz w:val="20"/>
                <w:szCs w:val="20"/>
              </w:rPr>
              <w:t>（4）有效落实学生诚信教育情况（5分）</w:t>
            </w:r>
          </w:p>
          <w:p>
            <w:pPr>
              <w:spacing w:line="220" w:lineRule="exact"/>
              <w:rPr>
                <w:color w:val="000000"/>
                <w:sz w:val="20"/>
                <w:szCs w:val="20"/>
              </w:rPr>
            </w:pPr>
            <w:r>
              <w:rPr>
                <w:color w:val="000000"/>
                <w:sz w:val="20"/>
                <w:szCs w:val="20"/>
              </w:rPr>
              <w:t>（5）及时严肃处理违规事件、通报曝光（7分）</w:t>
            </w:r>
          </w:p>
        </w:tc>
        <w:tc>
          <w:tcPr>
            <w:tcW w:w="2410" w:type="dxa"/>
            <w:vAlign w:val="center"/>
          </w:tcPr>
          <w:p>
            <w:pPr>
              <w:spacing w:line="240" w:lineRule="exact"/>
              <w:rPr>
                <w:color w:val="000000"/>
                <w:sz w:val="20"/>
                <w:szCs w:val="20"/>
              </w:rPr>
            </w:pPr>
            <w:r>
              <w:rPr>
                <w:b/>
                <w:bCs/>
                <w:color w:val="000000"/>
                <w:sz w:val="20"/>
                <w:szCs w:val="20"/>
              </w:rPr>
              <w:t>国开的制度文件、</w:t>
            </w:r>
            <w:r>
              <w:rPr>
                <w:rFonts w:hint="eastAsia"/>
                <w:b/>
                <w:bCs/>
                <w:sz w:val="20"/>
                <w:szCs w:val="20"/>
              </w:rPr>
              <w:t>省校</w:t>
            </w:r>
            <w:r>
              <w:rPr>
                <w:b/>
                <w:bCs/>
                <w:color w:val="000000"/>
                <w:sz w:val="20"/>
                <w:szCs w:val="20"/>
              </w:rPr>
              <w:t>的制度文件及</w:t>
            </w:r>
            <w:r>
              <w:rPr>
                <w:rFonts w:hint="eastAsia"/>
                <w:b/>
                <w:bCs/>
                <w:color w:val="000000"/>
                <w:sz w:val="20"/>
                <w:szCs w:val="20"/>
              </w:rPr>
              <w:t>分校、教学点</w:t>
            </w:r>
            <w:r>
              <w:rPr>
                <w:b/>
                <w:bCs/>
                <w:color w:val="000000"/>
                <w:sz w:val="20"/>
                <w:szCs w:val="20"/>
              </w:rPr>
              <w:t>的贯彻文件等体现出上下一致性</w:t>
            </w:r>
            <w:r>
              <w:rPr>
                <w:color w:val="000000"/>
                <w:sz w:val="20"/>
                <w:szCs w:val="20"/>
              </w:rPr>
              <w:t>；培训图片、宣传报道、蹲巡考安排文件、蹲巡考记事、诚信教育文件、承诺书、班级管理通知、考试查验程序、人员安排表、违纪通报记录等支撑。</w:t>
            </w:r>
          </w:p>
        </w:tc>
        <w:tc>
          <w:tcPr>
            <w:tcW w:w="1134" w:type="dxa"/>
            <w:vMerge w:val="continue"/>
            <w:vAlign w:val="center"/>
          </w:tcPr>
          <w:p>
            <w:pPr>
              <w:spacing w:line="240" w:lineRule="exact"/>
              <w:jc w:val="center"/>
              <w:rPr>
                <w:color w:val="000000"/>
                <w:sz w:val="20"/>
                <w:szCs w:val="20"/>
              </w:rPr>
            </w:pPr>
          </w:p>
        </w:tc>
        <w:tc>
          <w:tcPr>
            <w:tcW w:w="850" w:type="dxa"/>
            <w:vAlign w:val="center"/>
          </w:tcPr>
          <w:p>
            <w:pPr>
              <w:spacing w:line="24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40" w:lineRule="exact"/>
              <w:rPr>
                <w:sz w:val="20"/>
                <w:szCs w:val="20"/>
              </w:rPr>
            </w:pPr>
            <w:r>
              <w:rPr>
                <w:sz w:val="20"/>
                <w:szCs w:val="20"/>
              </w:rPr>
              <w:t>4.5.4 终结性考试试卷接收、入库、分发、评阅、成绩登录及管理等环节组织严密，管理严格规范（20分）</w:t>
            </w:r>
          </w:p>
        </w:tc>
        <w:tc>
          <w:tcPr>
            <w:tcW w:w="3544" w:type="dxa"/>
            <w:vAlign w:val="center"/>
          </w:tcPr>
          <w:p>
            <w:pPr>
              <w:spacing w:line="240" w:lineRule="exact"/>
              <w:rPr>
                <w:color w:val="000000"/>
                <w:sz w:val="20"/>
                <w:szCs w:val="20"/>
              </w:rPr>
            </w:pPr>
            <w:r>
              <w:rPr>
                <w:color w:val="000000"/>
                <w:sz w:val="20"/>
                <w:szCs w:val="20"/>
              </w:rPr>
              <w:t>（1）试卷接收、入库、分发、上报等环节规范有序可查，严格落实抽检的情况（7分）</w:t>
            </w:r>
          </w:p>
          <w:p>
            <w:pPr>
              <w:spacing w:line="240" w:lineRule="exact"/>
              <w:rPr>
                <w:color w:val="000000"/>
                <w:sz w:val="20"/>
                <w:szCs w:val="20"/>
              </w:rPr>
            </w:pPr>
            <w:r>
              <w:rPr>
                <w:color w:val="000000"/>
                <w:sz w:val="20"/>
                <w:szCs w:val="20"/>
              </w:rPr>
              <w:t>（2）下放课程成绩登录及管理等环节组织严密，管理严格规范的情况（7分）</w:t>
            </w:r>
          </w:p>
          <w:p>
            <w:pPr>
              <w:spacing w:line="240" w:lineRule="exact"/>
              <w:rPr>
                <w:color w:val="000000"/>
                <w:sz w:val="20"/>
                <w:szCs w:val="20"/>
              </w:rPr>
            </w:pPr>
            <w:r>
              <w:rPr>
                <w:color w:val="000000"/>
                <w:sz w:val="20"/>
                <w:szCs w:val="20"/>
              </w:rPr>
              <w:t>（3）定期开展考试成绩分析并反馈教学环节的情况（6分）</w:t>
            </w:r>
          </w:p>
        </w:tc>
        <w:tc>
          <w:tcPr>
            <w:tcW w:w="2410" w:type="dxa"/>
            <w:vAlign w:val="center"/>
          </w:tcPr>
          <w:p>
            <w:pPr>
              <w:spacing w:line="240" w:lineRule="exact"/>
              <w:rPr>
                <w:color w:val="000000"/>
                <w:sz w:val="20"/>
                <w:szCs w:val="20"/>
              </w:rPr>
            </w:pPr>
            <w:r>
              <w:rPr>
                <w:color w:val="000000"/>
                <w:sz w:val="20"/>
                <w:szCs w:val="20"/>
              </w:rPr>
              <w:t>试卷库管理程序、监控、押送试卷人员、学习中心试卷管理程序、试卷出入库交接签字、评阅登分、二核复审痕迹等。</w:t>
            </w:r>
          </w:p>
        </w:tc>
        <w:tc>
          <w:tcPr>
            <w:tcW w:w="1134" w:type="dxa"/>
            <w:vMerge w:val="continue"/>
            <w:vAlign w:val="center"/>
          </w:tcPr>
          <w:p>
            <w:pPr>
              <w:spacing w:line="240" w:lineRule="exact"/>
              <w:jc w:val="center"/>
              <w:rPr>
                <w:color w:val="000000"/>
                <w:sz w:val="20"/>
                <w:szCs w:val="20"/>
              </w:rPr>
            </w:pPr>
          </w:p>
        </w:tc>
        <w:tc>
          <w:tcPr>
            <w:tcW w:w="850" w:type="dxa"/>
            <w:vAlign w:val="center"/>
          </w:tcPr>
          <w:p>
            <w:pPr>
              <w:spacing w:line="24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restart"/>
            <w:vAlign w:val="center"/>
          </w:tcPr>
          <w:p>
            <w:pPr>
              <w:spacing w:line="260" w:lineRule="exact"/>
              <w:jc w:val="center"/>
              <w:rPr>
                <w:sz w:val="20"/>
                <w:szCs w:val="20"/>
              </w:rPr>
            </w:pPr>
            <w:r>
              <w:rPr>
                <w:sz w:val="20"/>
                <w:szCs w:val="20"/>
              </w:rPr>
              <w:t>4</w:t>
            </w:r>
            <w:r>
              <w:rPr>
                <w:rFonts w:hint="eastAsia"/>
                <w:sz w:val="20"/>
                <w:szCs w:val="20"/>
              </w:rPr>
              <w:t>．</w:t>
            </w:r>
            <w:r>
              <w:rPr>
                <w:sz w:val="20"/>
                <w:szCs w:val="20"/>
              </w:rPr>
              <w:t>教学运行与效果</w:t>
            </w:r>
          </w:p>
          <w:p>
            <w:pPr>
              <w:spacing w:line="260" w:lineRule="exact"/>
              <w:jc w:val="center"/>
              <w:rPr>
                <w:sz w:val="20"/>
                <w:szCs w:val="20"/>
              </w:rPr>
            </w:pPr>
            <w:r>
              <w:rPr>
                <w:rFonts w:hint="eastAsia" w:ascii="宋体" w:hAnsi="宋体"/>
                <w:sz w:val="20"/>
                <w:szCs w:val="20"/>
              </w:rPr>
              <w:t>(</w:t>
            </w:r>
            <w:r>
              <w:rPr>
                <w:sz w:val="20"/>
                <w:szCs w:val="20"/>
              </w:rPr>
              <w:t>340分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4.6 学习支持服务和满意度（50分）</w:t>
            </w:r>
          </w:p>
        </w:tc>
        <w:tc>
          <w:tcPr>
            <w:tcW w:w="2951" w:type="dxa"/>
            <w:vAlign w:val="center"/>
          </w:tcPr>
          <w:p>
            <w:pPr>
              <w:spacing w:line="260" w:lineRule="exact"/>
              <w:rPr>
                <w:sz w:val="20"/>
                <w:szCs w:val="20"/>
              </w:rPr>
            </w:pPr>
            <w:r>
              <w:rPr>
                <w:sz w:val="20"/>
                <w:szCs w:val="20"/>
              </w:rPr>
              <w:t>4.6.1 能及时解决学生学习过程中遇到的各种问题；由专人负责或有专门渠道及时提供学生咨询服务，处理及时，学生对处理结果满意度高（15分）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对学生学习支持服务事务的响应速度情况（5分）</w:t>
            </w:r>
          </w:p>
          <w:p>
            <w:pPr>
              <w:spacing w:line="260" w:lineRule="exact"/>
              <w:rPr>
                <w:color w:val="000000"/>
                <w:sz w:val="20"/>
                <w:szCs w:val="20"/>
              </w:rPr>
            </w:pPr>
            <w:r>
              <w:rPr>
                <w:color w:val="000000"/>
                <w:sz w:val="20"/>
                <w:szCs w:val="20"/>
              </w:rPr>
              <w:t>（2）由专人负责或有专门渠道及时提供学生咨询服务情况（3分）</w:t>
            </w:r>
          </w:p>
          <w:p>
            <w:pPr>
              <w:spacing w:line="260" w:lineRule="exact"/>
              <w:rPr>
                <w:color w:val="000000"/>
                <w:sz w:val="20"/>
                <w:szCs w:val="20"/>
              </w:rPr>
            </w:pPr>
            <w:r>
              <w:rPr>
                <w:color w:val="000000"/>
                <w:sz w:val="20"/>
                <w:szCs w:val="20"/>
              </w:rPr>
              <w:t>（3）处理速度情况（4分）</w:t>
            </w:r>
          </w:p>
          <w:p>
            <w:pPr>
              <w:spacing w:line="260" w:lineRule="exact"/>
              <w:rPr>
                <w:color w:val="000000"/>
                <w:sz w:val="20"/>
                <w:szCs w:val="20"/>
              </w:rPr>
            </w:pPr>
            <w:r>
              <w:rPr>
                <w:color w:val="000000"/>
                <w:sz w:val="20"/>
                <w:szCs w:val="20"/>
              </w:rPr>
              <w:t>（4）学生对处理结果的满意度（3分）</w:t>
            </w:r>
          </w:p>
        </w:tc>
        <w:tc>
          <w:tcPr>
            <w:tcW w:w="2410" w:type="dxa"/>
            <w:vAlign w:val="center"/>
          </w:tcPr>
          <w:p>
            <w:pPr>
              <w:spacing w:line="260" w:lineRule="exact"/>
              <w:rPr>
                <w:color w:val="000000"/>
                <w:sz w:val="20"/>
                <w:szCs w:val="20"/>
              </w:rPr>
            </w:pPr>
            <w:r>
              <w:rPr>
                <w:color w:val="000000"/>
                <w:sz w:val="20"/>
                <w:szCs w:val="20"/>
              </w:rPr>
              <w:t>学生问题反馈有渠道，问题解决有制度、有应急预案、有记录、有监管，且回复及时有效果。</w:t>
            </w:r>
          </w:p>
          <w:p>
            <w:pPr>
              <w:spacing w:line="260" w:lineRule="exact"/>
              <w:rPr>
                <w:color w:val="000000"/>
                <w:sz w:val="20"/>
                <w:szCs w:val="20"/>
              </w:rPr>
            </w:pPr>
            <w:r>
              <w:rPr>
                <w:b/>
                <w:color w:val="000000"/>
                <w:sz w:val="20"/>
                <w:szCs w:val="20"/>
              </w:rPr>
              <w:t>专家关注学生第二学期注册率、教材配置率等</w:t>
            </w:r>
            <w:r>
              <w:rPr>
                <w:color w:val="000000"/>
                <w:sz w:val="20"/>
                <w:szCs w:val="20"/>
              </w:rPr>
              <w:t>，另外会通过访谈学生具体了解情况。</w:t>
            </w:r>
          </w:p>
        </w:tc>
        <w:tc>
          <w:tcPr>
            <w:tcW w:w="1134" w:type="dxa"/>
            <w:vMerge w:val="restart"/>
            <w:vAlign w:val="center"/>
          </w:tcPr>
          <w:p>
            <w:pPr>
              <w:spacing w:line="260" w:lineRule="exact"/>
              <w:jc w:val="center"/>
              <w:rPr>
                <w:color w:val="000000"/>
                <w:sz w:val="20"/>
                <w:szCs w:val="20"/>
              </w:rPr>
            </w:pPr>
          </w:p>
          <w:p>
            <w:pPr>
              <w:spacing w:line="260" w:lineRule="exact"/>
              <w:ind w:firstLine="200" w:firstLineChars="100"/>
              <w:jc w:val="both"/>
              <w:rPr>
                <w:rFonts w:hint="default" w:eastAsia="宋体"/>
                <w:color w:val="000000"/>
                <w:sz w:val="20"/>
                <w:szCs w:val="20"/>
                <w:lang w:val="en-US" w:eastAsia="zh-CN"/>
              </w:rPr>
            </w:pPr>
            <w:r>
              <w:rPr>
                <w:rFonts w:hint="eastAsia"/>
                <w:color w:val="000000"/>
                <w:sz w:val="20"/>
                <w:szCs w:val="20"/>
                <w:lang w:val="en-US" w:eastAsia="zh-CN"/>
              </w:rPr>
              <w:t>教务处</w: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eastAsia"/>
                <w:color w:val="000000"/>
                <w:sz w:val="20"/>
                <w:szCs w:val="20"/>
                <w:lang w:val="en-US" w:eastAsia="zh-CN"/>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教务处</w:t>
            </w:r>
          </w:p>
          <w:p>
            <w:pPr>
              <w:spacing w:line="260" w:lineRule="exact"/>
              <w:jc w:val="center"/>
              <w:rPr>
                <w:color w:val="000000"/>
                <w:sz w:val="20"/>
                <w:szCs w:val="20"/>
              </w:rPr>
            </w:pPr>
          </w:p>
          <w:p>
            <w:pPr>
              <w:spacing w:line="260" w:lineRule="exact"/>
              <w:jc w:val="center"/>
              <w:rPr>
                <w:color w:val="000000"/>
                <w:sz w:val="20"/>
                <w:szCs w:val="20"/>
              </w:rPr>
            </w:pPr>
            <w:r>
              <w:rPr>
                <w:sz w:val="20"/>
              </w:rPr>
              <mc:AlternateContent>
                <mc:Choice Requires="wps">
                  <w:drawing>
                    <wp:anchor distT="0" distB="0" distL="114300" distR="114300" simplePos="0" relativeHeight="251668480" behindDoc="0" locked="0" layoutInCell="1" allowOverlap="1">
                      <wp:simplePos x="0" y="0"/>
                      <wp:positionH relativeFrom="column">
                        <wp:posOffset>-22225</wp:posOffset>
                      </wp:positionH>
                      <wp:positionV relativeFrom="paragraph">
                        <wp:posOffset>10795</wp:posOffset>
                      </wp:positionV>
                      <wp:extent cx="723900" cy="0"/>
                      <wp:effectExtent l="0" t="6350" r="0" b="6350"/>
                      <wp:wrapNone/>
                      <wp:docPr id="12" name="直接连接符 12"/>
                      <wp:cNvGraphicFramePr/>
                      <a:graphic xmlns:a="http://schemas.openxmlformats.org/drawingml/2006/main">
                        <a:graphicData uri="http://schemas.microsoft.com/office/word/2010/wordprocessingShape">
                          <wps:wsp>
                            <wps:cNvCnPr/>
                            <wps:spPr>
                              <a:xfrm>
                                <a:off x="8303895" y="1732915"/>
                                <a:ext cx="723900"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1.75pt;margin-top:0.85pt;height:0pt;width:57pt;z-index:251668480;mso-width-relative:page;mso-height-relative:page;" filled="f" stroked="t" coordsize="21600,21600" o:gfxdata="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liIbdMAAAAGAQAADwAAAAAAAAABACAAAAAiAAAAZHJzL2Rvd25yZXYueG1sUEsBAhQAFAAAAAgA&#10;h07iQB9xWHnxAQAAvgMAAA4AAAAAAAAAAQAgAAAAIgEAAGRycy9lMm9Eb2MueG1sUEsFBgAAAAAG&#10;AAYAWQEAAIUFAAAAAA==&#10;">
                      <v:fill on="f" focussize="0,0"/>
                      <v:stroke weight="1pt" color="#000000" miterlimit="8" joinstyle="miter"/>
                      <v:imagedata o:title=""/>
                      <o:lock v:ext="edit" aspectratio="f"/>
                    </v:line>
                  </w:pict>
                </mc:Fallback>
              </mc:AlternateConten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信息处</w:t>
            </w:r>
          </w:p>
          <w:p>
            <w:pPr>
              <w:spacing w:line="260" w:lineRule="exact"/>
              <w:jc w:val="center"/>
              <w:rPr>
                <w:color w:val="000000"/>
                <w:sz w:val="20"/>
                <w:szCs w:val="20"/>
              </w:rPr>
            </w:pPr>
            <w:r>
              <w:rPr>
                <w:sz w:val="20"/>
              </w:rPr>
              <mc:AlternateContent>
                <mc:Choice Requires="wps">
                  <w:drawing>
                    <wp:anchor distT="0" distB="0" distL="114300" distR="114300" simplePos="0" relativeHeight="251669504" behindDoc="0" locked="0" layoutInCell="1" allowOverlap="1">
                      <wp:simplePos x="0" y="0"/>
                      <wp:positionH relativeFrom="column">
                        <wp:posOffset>-66675</wp:posOffset>
                      </wp:positionH>
                      <wp:positionV relativeFrom="paragraph">
                        <wp:posOffset>172085</wp:posOffset>
                      </wp:positionV>
                      <wp:extent cx="781050" cy="0"/>
                      <wp:effectExtent l="0" t="6350" r="0" b="6350"/>
                      <wp:wrapNone/>
                      <wp:docPr id="13" name="直接连接符 13"/>
                      <wp:cNvGraphicFramePr/>
                      <a:graphic xmlns:a="http://schemas.openxmlformats.org/drawingml/2006/main">
                        <a:graphicData uri="http://schemas.microsoft.com/office/word/2010/wordprocessingShape">
                          <wps:wsp>
                            <wps:cNvCnPr/>
                            <wps:spPr>
                              <a:xfrm>
                                <a:off x="8249920" y="2731135"/>
                                <a:ext cx="781050"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5.25pt;margin-top:13.55pt;height:0pt;width:61.5pt;z-index:251669504;mso-width-relative:page;mso-height-relative:page;" filled="f" stroked="t" coordsize="21600,21600" o:gfxdata="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YtEhdcAAAAJAQAADwAAAAAAAAABACAAAAAiAAAAZHJzL2Rvd25yZXYueG1sUEsBAhQA&#10;FAAAAAgAh07iQEmvdcLzAQAAvgMAAA4AAAAAAAAAAQAgAAAAJgEAAGRycy9lMm9Eb2MueG1sUEsF&#10;BgAAAAAGAAYAWQEAAIsFAAAAAA==&#10;">
                      <v:fill on="f" focussize="0,0"/>
                      <v:stroke weight="1pt" color="#000000" miterlimit="8" joinstyle="miter"/>
                      <v:imagedata o:title=""/>
                      <o:lock v:ext="edit" aspectratio="f"/>
                    </v:line>
                  </w:pict>
                </mc:Fallback>
              </mc:AlternateConten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教研处</w: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r>
              <w:rPr>
                <w:sz w:val="20"/>
              </w:rPr>
              <mc:AlternateContent>
                <mc:Choice Requires="wps">
                  <w:drawing>
                    <wp:anchor distT="0" distB="0" distL="114300" distR="114300" simplePos="0" relativeHeight="251670528" behindDoc="0" locked="0" layoutInCell="1" allowOverlap="1">
                      <wp:simplePos x="0" y="0"/>
                      <wp:positionH relativeFrom="column">
                        <wp:posOffset>-85725</wp:posOffset>
                      </wp:positionH>
                      <wp:positionV relativeFrom="paragraph">
                        <wp:posOffset>20955</wp:posOffset>
                      </wp:positionV>
                      <wp:extent cx="800100" cy="0"/>
                      <wp:effectExtent l="0" t="6350" r="0" b="6350"/>
                      <wp:wrapNone/>
                      <wp:docPr id="14" name="直接连接符 14"/>
                      <wp:cNvGraphicFramePr/>
                      <a:graphic xmlns:a="http://schemas.openxmlformats.org/drawingml/2006/main">
                        <a:graphicData uri="http://schemas.microsoft.com/office/word/2010/wordprocessingShape">
                          <wps:wsp>
                            <wps:cNvCnPr/>
                            <wps:spPr>
                              <a:xfrm>
                                <a:off x="8259445" y="3908425"/>
                                <a:ext cx="800100"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6.75pt;margin-top:1.65pt;height:0pt;width:63pt;z-index:251670528;mso-width-relative:page;mso-height-relative:page;" filled="f" stroked="t" coordsize="21600,21600" o:gfxdata="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tGeYXUAAAABwEAAA8AAAAAAAAAAQAgAAAAIgAAAGRycy9kb3ducmV2LnhtbFBLAQIUABQAAAAI&#10;AIdO4kBaHxEi8QEAAL4DAAAOAAAAAAAAAAEAIAAAACMBAABkcnMvZTJvRG9jLnhtbFBLBQYAAAAA&#10;BgAGAFkBAACGBQAAAAA=&#10;">
                      <v:fill on="f" focussize="0,0"/>
                      <v:stroke weight="1pt" color="#000000" miterlimit="8" joinstyle="miter"/>
                      <v:imagedata o:title=""/>
                      <o:lock v:ext="edit" aspectratio="f"/>
                    </v:line>
                  </w:pict>
                </mc:Fallback>
              </mc:AlternateConten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教务处</w:t>
            </w:r>
          </w:p>
          <w:p>
            <w:pPr>
              <w:spacing w:line="260" w:lineRule="exact"/>
              <w:jc w:val="center"/>
              <w:rPr>
                <w:color w:val="000000"/>
                <w:sz w:val="20"/>
                <w:szCs w:val="20"/>
              </w:rPr>
            </w:pPr>
          </w:p>
          <w:p>
            <w:pPr>
              <w:spacing w:line="260" w:lineRule="exact"/>
              <w:jc w:val="center"/>
              <w:rPr>
                <w:color w:val="000000"/>
                <w:sz w:val="20"/>
                <w:szCs w:val="20"/>
              </w:rPr>
            </w:pPr>
          </w:p>
          <w:p>
            <w:pPr>
              <w:spacing w:line="260" w:lineRule="exact"/>
              <w:jc w:val="center"/>
              <w:rPr>
                <w:color w:val="000000"/>
                <w:sz w:val="20"/>
                <w:szCs w:val="20"/>
              </w:rPr>
            </w:pPr>
          </w:p>
          <w:p>
            <w:pPr>
              <w:spacing w:line="260" w:lineRule="exact"/>
              <w:ind w:firstLine="200" w:firstLineChars="100"/>
              <w:jc w:val="center"/>
              <w:rPr>
                <w:color w:val="000000"/>
                <w:sz w:val="20"/>
                <w:szCs w:val="20"/>
              </w:rPr>
            </w:pP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4.6.2 使用电话、网络、手机App、线下等多种方式向学生提供学术、非学术支持服务（15分）</w:t>
            </w:r>
          </w:p>
        </w:tc>
        <w:tc>
          <w:tcPr>
            <w:tcW w:w="3544" w:type="dxa"/>
            <w:vAlign w:val="center"/>
          </w:tcPr>
          <w:p>
            <w:pPr>
              <w:spacing w:line="260" w:lineRule="exact"/>
              <w:rPr>
                <w:color w:val="000000"/>
                <w:sz w:val="20"/>
                <w:szCs w:val="20"/>
              </w:rPr>
            </w:pPr>
            <w:r>
              <w:rPr>
                <w:color w:val="000000"/>
                <w:sz w:val="20"/>
                <w:szCs w:val="20"/>
              </w:rPr>
              <w:t>（1）向学生提供学习支持服务的工具具有多样性，学生可以通过多种方式获取支持服务的情况（10分）</w:t>
            </w:r>
          </w:p>
          <w:p>
            <w:pPr>
              <w:spacing w:line="260" w:lineRule="exact"/>
              <w:rPr>
                <w:color w:val="000000"/>
                <w:sz w:val="20"/>
                <w:szCs w:val="20"/>
              </w:rPr>
            </w:pPr>
            <w:r>
              <w:rPr>
                <w:color w:val="000000"/>
                <w:sz w:val="20"/>
                <w:szCs w:val="20"/>
              </w:rPr>
              <w:t>（2）学校向学生提供的支持服务的内容具有广泛性，覆盖学术和非学术两方面的情况（5分）</w:t>
            </w:r>
          </w:p>
        </w:tc>
        <w:tc>
          <w:tcPr>
            <w:tcW w:w="2410" w:type="dxa"/>
            <w:vAlign w:val="center"/>
          </w:tcPr>
          <w:p>
            <w:pPr>
              <w:spacing w:line="260" w:lineRule="exact"/>
              <w:rPr>
                <w:color w:val="000000"/>
                <w:sz w:val="20"/>
                <w:szCs w:val="20"/>
              </w:rPr>
            </w:pPr>
            <w:r>
              <w:rPr>
                <w:color w:val="000000"/>
                <w:sz w:val="20"/>
                <w:szCs w:val="20"/>
              </w:rPr>
              <w:t>向学生提供支持服务的工具、效果等（有痕迹）</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4.6.3 支持开展满意度调查，学生、毕业生对学校教学和服务等方面满意度高（20分）</w:t>
            </w:r>
          </w:p>
        </w:tc>
        <w:tc>
          <w:tcPr>
            <w:tcW w:w="3544" w:type="dxa"/>
            <w:vAlign w:val="center"/>
          </w:tcPr>
          <w:p>
            <w:pPr>
              <w:spacing w:line="260" w:lineRule="exact"/>
              <w:rPr>
                <w:color w:val="000000"/>
                <w:sz w:val="20"/>
                <w:szCs w:val="20"/>
              </w:rPr>
            </w:pPr>
            <w:r>
              <w:rPr>
                <w:color w:val="000000"/>
                <w:sz w:val="20"/>
                <w:szCs w:val="20"/>
              </w:rPr>
              <w:t>满意度调查表统计</w:t>
            </w:r>
          </w:p>
          <w:p>
            <w:pPr>
              <w:spacing w:line="260" w:lineRule="exact"/>
              <w:rPr>
                <w:color w:val="000000"/>
                <w:sz w:val="20"/>
                <w:szCs w:val="20"/>
              </w:rPr>
            </w:pPr>
            <w:r>
              <w:rPr>
                <w:color w:val="000000"/>
                <w:sz w:val="20"/>
                <w:szCs w:val="20"/>
              </w:rPr>
              <w:t>（1）很满意比重</w:t>
            </w:r>
            <w:r>
              <w:rPr>
                <w:rFonts w:ascii="宋体" w:hAnsi="宋体"/>
                <w:color w:val="000000"/>
                <w:sz w:val="20"/>
                <w:szCs w:val="20"/>
              </w:rPr>
              <w:t>≥</w:t>
            </w:r>
            <w:r>
              <w:rPr>
                <w:color w:val="000000"/>
                <w:sz w:val="20"/>
                <w:szCs w:val="20"/>
              </w:rPr>
              <w:t>50%</w:t>
            </w:r>
          </w:p>
          <w:p>
            <w:pPr>
              <w:spacing w:line="260" w:lineRule="exact"/>
              <w:rPr>
                <w:color w:val="000000"/>
                <w:sz w:val="20"/>
                <w:szCs w:val="20"/>
              </w:rPr>
            </w:pPr>
            <w:r>
              <w:rPr>
                <w:color w:val="000000"/>
                <w:sz w:val="20"/>
                <w:szCs w:val="20"/>
              </w:rPr>
              <w:t>（2）满意比重</w:t>
            </w:r>
            <w:r>
              <w:rPr>
                <w:rFonts w:ascii="宋体" w:hAnsi="宋体"/>
                <w:color w:val="000000"/>
                <w:sz w:val="20"/>
                <w:szCs w:val="20"/>
              </w:rPr>
              <w:t>≥</w:t>
            </w:r>
            <w:r>
              <w:rPr>
                <w:color w:val="000000"/>
                <w:sz w:val="20"/>
                <w:szCs w:val="20"/>
              </w:rPr>
              <w:t>90%（20分）</w:t>
            </w:r>
          </w:p>
          <w:p>
            <w:pPr>
              <w:spacing w:line="260" w:lineRule="exact"/>
              <w:rPr>
                <w:color w:val="000000"/>
                <w:sz w:val="20"/>
                <w:szCs w:val="20"/>
              </w:rPr>
            </w:pPr>
            <w:r>
              <w:rPr>
                <w:color w:val="000000"/>
                <w:sz w:val="20"/>
                <w:szCs w:val="20"/>
              </w:rPr>
              <w:t>（3）基本满意比重完成率不足60%等酌情减分</w:t>
            </w:r>
          </w:p>
          <w:p>
            <w:pPr>
              <w:spacing w:line="260" w:lineRule="exact"/>
              <w:rPr>
                <w:color w:val="000000"/>
                <w:sz w:val="20"/>
                <w:szCs w:val="20"/>
              </w:rPr>
            </w:pPr>
            <w:r>
              <w:rPr>
                <w:color w:val="000000"/>
                <w:sz w:val="20"/>
                <w:szCs w:val="20"/>
              </w:rPr>
              <w:t>（4）不满意比重完成率不足60%等酌情减分</w:t>
            </w:r>
          </w:p>
        </w:tc>
        <w:tc>
          <w:tcPr>
            <w:tcW w:w="2410" w:type="dxa"/>
            <w:vAlign w:val="center"/>
          </w:tcPr>
          <w:p>
            <w:pPr>
              <w:spacing w:line="260" w:lineRule="exact"/>
              <w:rPr>
                <w:color w:val="000000"/>
                <w:sz w:val="20"/>
                <w:szCs w:val="20"/>
              </w:rPr>
            </w:pPr>
            <w:r>
              <w:rPr>
                <w:color w:val="000000"/>
                <w:sz w:val="20"/>
                <w:szCs w:val="20"/>
              </w:rPr>
              <w:t>问卷调查、学期评课、满意度调查、新闻报道等均可支撑。</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4.7 学籍、毕业及学位管理（30分）</w:t>
            </w:r>
          </w:p>
        </w:tc>
        <w:tc>
          <w:tcPr>
            <w:tcW w:w="2951" w:type="dxa"/>
            <w:vAlign w:val="center"/>
          </w:tcPr>
          <w:p>
            <w:pPr>
              <w:spacing w:line="260" w:lineRule="exact"/>
              <w:rPr>
                <w:sz w:val="20"/>
                <w:szCs w:val="20"/>
              </w:rPr>
            </w:pPr>
            <w:r>
              <w:rPr>
                <w:sz w:val="20"/>
                <w:szCs w:val="20"/>
              </w:rPr>
              <w:t>4.7.1 学籍管理流程规范，有与学生规模相适应的学籍管理人员，学生档案保存良好，关键环节落实到位（6分）</w:t>
            </w:r>
          </w:p>
        </w:tc>
        <w:tc>
          <w:tcPr>
            <w:tcW w:w="3544" w:type="dxa"/>
            <w:vAlign w:val="center"/>
          </w:tcPr>
          <w:p>
            <w:pPr>
              <w:spacing w:line="260" w:lineRule="exact"/>
              <w:rPr>
                <w:color w:val="000000"/>
                <w:sz w:val="20"/>
                <w:szCs w:val="20"/>
              </w:rPr>
            </w:pPr>
            <w:r>
              <w:rPr>
                <w:color w:val="000000"/>
                <w:sz w:val="20"/>
                <w:szCs w:val="20"/>
              </w:rPr>
              <w:t>（1）学籍管理制度完整，流程执行规范（3分）</w:t>
            </w:r>
          </w:p>
          <w:p>
            <w:pPr>
              <w:spacing w:line="260" w:lineRule="exact"/>
              <w:rPr>
                <w:color w:val="000000"/>
                <w:sz w:val="20"/>
                <w:szCs w:val="20"/>
              </w:rPr>
            </w:pPr>
            <w:r>
              <w:rPr>
                <w:color w:val="000000"/>
                <w:sz w:val="20"/>
                <w:szCs w:val="20"/>
              </w:rPr>
              <w:t>（2）学籍管理岗位人员与学生规模相适应（3分）</w:t>
            </w:r>
          </w:p>
        </w:tc>
        <w:tc>
          <w:tcPr>
            <w:tcW w:w="2410" w:type="dxa"/>
            <w:vAlign w:val="center"/>
          </w:tcPr>
          <w:p>
            <w:pPr>
              <w:spacing w:line="260" w:lineRule="exact"/>
              <w:rPr>
                <w:color w:val="000000"/>
                <w:sz w:val="20"/>
                <w:szCs w:val="20"/>
              </w:rPr>
            </w:pPr>
            <w:r>
              <w:rPr>
                <w:color w:val="000000"/>
                <w:sz w:val="20"/>
                <w:szCs w:val="20"/>
              </w:rPr>
              <w:t>有无学生投诉；档案保管、查询、发放是否规范；是否存在管理隐患、服务不及时。</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4.7.2 毕业管理过程规范，关键环节落实到位（6分）</w:t>
            </w:r>
          </w:p>
        </w:tc>
        <w:tc>
          <w:tcPr>
            <w:tcW w:w="3544" w:type="dxa"/>
            <w:vAlign w:val="center"/>
          </w:tcPr>
          <w:p>
            <w:pPr>
              <w:spacing w:line="260" w:lineRule="exact"/>
              <w:rPr>
                <w:color w:val="000000"/>
                <w:sz w:val="20"/>
                <w:szCs w:val="20"/>
              </w:rPr>
            </w:pPr>
            <w:r>
              <w:rPr>
                <w:color w:val="000000"/>
                <w:sz w:val="20"/>
                <w:szCs w:val="20"/>
              </w:rPr>
              <w:t>（1）毕业生登记表填写规范情况（2分）</w:t>
            </w:r>
          </w:p>
          <w:p>
            <w:pPr>
              <w:spacing w:line="260" w:lineRule="exact"/>
              <w:rPr>
                <w:color w:val="000000"/>
                <w:sz w:val="20"/>
                <w:szCs w:val="20"/>
              </w:rPr>
            </w:pPr>
            <w:r>
              <w:rPr>
                <w:color w:val="000000"/>
                <w:sz w:val="20"/>
                <w:szCs w:val="20"/>
              </w:rPr>
              <w:t>（2）毕业资格审核规范情况（4分）</w:t>
            </w:r>
          </w:p>
        </w:tc>
        <w:tc>
          <w:tcPr>
            <w:tcW w:w="2410" w:type="dxa"/>
            <w:vAlign w:val="center"/>
          </w:tcPr>
          <w:p>
            <w:pPr>
              <w:spacing w:line="260" w:lineRule="exact"/>
              <w:rPr>
                <w:color w:val="000000"/>
                <w:sz w:val="20"/>
                <w:szCs w:val="20"/>
              </w:rPr>
            </w:pPr>
            <w:r>
              <w:rPr>
                <w:color w:val="000000"/>
                <w:sz w:val="20"/>
                <w:szCs w:val="20"/>
              </w:rPr>
              <w:t>4.7.2、4.7.3和4.7.4涉及毕业、学位成绩审核、手续上报、档案管理分发、毕业和学位证书签领等。</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4.7.3 学位管理流程规范，学位审核严谨，关键环节落实到位（6分）</w:t>
            </w:r>
          </w:p>
        </w:tc>
        <w:tc>
          <w:tcPr>
            <w:tcW w:w="3544" w:type="dxa"/>
            <w:vAlign w:val="center"/>
          </w:tcPr>
          <w:p>
            <w:pPr>
              <w:spacing w:line="260" w:lineRule="exact"/>
              <w:rPr>
                <w:color w:val="000000"/>
                <w:sz w:val="20"/>
                <w:szCs w:val="20"/>
              </w:rPr>
            </w:pPr>
            <w:r>
              <w:rPr>
                <w:color w:val="000000"/>
                <w:sz w:val="20"/>
                <w:szCs w:val="20"/>
              </w:rPr>
              <w:t>（1）学位审核表填写规范情况（2分）</w:t>
            </w:r>
          </w:p>
          <w:p>
            <w:pPr>
              <w:spacing w:line="260" w:lineRule="exact"/>
              <w:rPr>
                <w:color w:val="000000"/>
                <w:sz w:val="20"/>
                <w:szCs w:val="20"/>
              </w:rPr>
            </w:pPr>
            <w:r>
              <w:rPr>
                <w:color w:val="000000"/>
                <w:sz w:val="20"/>
                <w:szCs w:val="20"/>
              </w:rPr>
              <w:t>（2）审核意见填写规范情况（4分）</w:t>
            </w:r>
          </w:p>
        </w:tc>
        <w:tc>
          <w:tcPr>
            <w:tcW w:w="2410" w:type="dxa"/>
            <w:vAlign w:val="center"/>
          </w:tcPr>
          <w:p>
            <w:pPr>
              <w:spacing w:line="260" w:lineRule="exact"/>
              <w:rPr>
                <w:color w:val="000000"/>
                <w:sz w:val="20"/>
                <w:szCs w:val="20"/>
              </w:rPr>
            </w:pPr>
          </w:p>
        </w:tc>
        <w:tc>
          <w:tcPr>
            <w:tcW w:w="1134" w:type="dxa"/>
            <w:vMerge w:val="continue"/>
            <w:vAlign w:val="center"/>
          </w:tcPr>
          <w:p>
            <w:pPr>
              <w:spacing w:line="260" w:lineRule="exact"/>
              <w:jc w:val="center"/>
              <w:rPr>
                <w:color w:val="000000"/>
                <w:sz w:val="20"/>
                <w:szCs w:val="20"/>
              </w:rPr>
            </w:pP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4.7.4 毕业证书和学位证书保管得当、发放及时（6分）</w:t>
            </w:r>
          </w:p>
        </w:tc>
        <w:tc>
          <w:tcPr>
            <w:tcW w:w="3544" w:type="dxa"/>
            <w:vAlign w:val="center"/>
          </w:tcPr>
          <w:p>
            <w:pPr>
              <w:spacing w:line="260" w:lineRule="exact"/>
              <w:rPr>
                <w:color w:val="000000"/>
                <w:sz w:val="20"/>
                <w:szCs w:val="20"/>
              </w:rPr>
            </w:pPr>
            <w:r>
              <w:rPr>
                <w:color w:val="000000"/>
                <w:sz w:val="20"/>
                <w:szCs w:val="20"/>
              </w:rPr>
              <w:t>（1）毕业证书保存、移交和发放签收规范情况（3分）</w:t>
            </w:r>
          </w:p>
          <w:p>
            <w:pPr>
              <w:spacing w:line="260" w:lineRule="exact"/>
              <w:rPr>
                <w:color w:val="000000"/>
                <w:sz w:val="20"/>
                <w:szCs w:val="20"/>
              </w:rPr>
            </w:pPr>
            <w:r>
              <w:rPr>
                <w:color w:val="000000"/>
                <w:sz w:val="20"/>
                <w:szCs w:val="20"/>
              </w:rPr>
              <w:t>（2）学位证书保存、移交和发放签收规范情况（3分）</w:t>
            </w:r>
          </w:p>
        </w:tc>
        <w:tc>
          <w:tcPr>
            <w:tcW w:w="2410" w:type="dxa"/>
            <w:vAlign w:val="center"/>
          </w:tcPr>
          <w:p>
            <w:pPr>
              <w:spacing w:line="260" w:lineRule="exact"/>
              <w:rPr>
                <w:color w:val="000000"/>
                <w:sz w:val="20"/>
                <w:szCs w:val="20"/>
              </w:rPr>
            </w:pPr>
            <w:r>
              <w:rPr>
                <w:color w:val="000000"/>
                <w:sz w:val="20"/>
                <w:szCs w:val="20"/>
              </w:rPr>
              <w:t>关注工作的规范性。</w:t>
            </w:r>
          </w:p>
        </w:tc>
        <w:tc>
          <w:tcPr>
            <w:tcW w:w="1134" w:type="dxa"/>
            <w:vMerge w:val="continue"/>
            <w:vAlign w:val="center"/>
          </w:tcPr>
          <w:p>
            <w:pPr>
              <w:spacing w:line="260" w:lineRule="exact"/>
              <w:jc w:val="center"/>
              <w:rPr>
                <w:color w:val="000000"/>
                <w:sz w:val="20"/>
                <w:szCs w:val="20"/>
              </w:rPr>
            </w:pP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4.7.5 免修免考管理流程规范，审核严谨，反馈及时（6分）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按规范标准进行免修免考审核并上报的情况（4分）</w:t>
            </w:r>
          </w:p>
          <w:p>
            <w:pPr>
              <w:spacing w:line="260" w:lineRule="exact"/>
              <w:rPr>
                <w:color w:val="000000"/>
                <w:sz w:val="20"/>
                <w:szCs w:val="20"/>
              </w:rPr>
            </w:pPr>
            <w:r>
              <w:rPr>
                <w:color w:val="000000"/>
                <w:sz w:val="20"/>
                <w:szCs w:val="20"/>
              </w:rPr>
              <w:t>（2）反馈结果情况（2分）</w:t>
            </w:r>
          </w:p>
        </w:tc>
        <w:tc>
          <w:tcPr>
            <w:tcW w:w="2410" w:type="dxa"/>
            <w:vAlign w:val="center"/>
          </w:tcPr>
          <w:p>
            <w:pPr>
              <w:spacing w:line="260" w:lineRule="exact"/>
              <w:rPr>
                <w:color w:val="000000"/>
                <w:sz w:val="20"/>
                <w:szCs w:val="20"/>
              </w:rPr>
            </w:pPr>
            <w:r>
              <w:rPr>
                <w:color w:val="000000"/>
                <w:sz w:val="20"/>
                <w:szCs w:val="20"/>
              </w:rPr>
              <w:t>免修免考须有依据：文件、条件、档案、审核、登记办理、凭证归档等。</w:t>
            </w:r>
          </w:p>
        </w:tc>
        <w:tc>
          <w:tcPr>
            <w:tcW w:w="1134" w:type="dxa"/>
            <w:vMerge w:val="continue"/>
            <w:vAlign w:val="center"/>
          </w:tcPr>
          <w:p>
            <w:pPr>
              <w:spacing w:line="260" w:lineRule="exact"/>
              <w:jc w:val="center"/>
              <w:rPr>
                <w:color w:val="000000"/>
                <w:sz w:val="20"/>
                <w:szCs w:val="20"/>
              </w:rPr>
            </w:pPr>
          </w:p>
        </w:tc>
        <w:tc>
          <w:tcPr>
            <w:tcW w:w="850" w:type="dxa"/>
            <w:vAlign w:val="center"/>
          </w:tcPr>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424" w:hRule="atLeast"/>
          <w:jc w:val="center"/>
        </w:trPr>
        <w:tc>
          <w:tcPr>
            <w:tcW w:w="0" w:type="auto"/>
            <w:vMerge w:val="restart"/>
            <w:vAlign w:val="center"/>
          </w:tcPr>
          <w:p>
            <w:pPr>
              <w:spacing w:line="260" w:lineRule="exact"/>
              <w:jc w:val="center"/>
              <w:rPr>
                <w:sz w:val="20"/>
                <w:szCs w:val="20"/>
              </w:rPr>
            </w:pPr>
            <w:r>
              <w:rPr>
                <w:sz w:val="20"/>
                <w:szCs w:val="20"/>
              </w:rPr>
              <w:t>5</w:t>
            </w:r>
            <w:r>
              <w:rPr>
                <w:rFonts w:hint="eastAsia"/>
                <w:sz w:val="20"/>
                <w:szCs w:val="20"/>
              </w:rPr>
              <w:t>．</w:t>
            </w:r>
            <w:r>
              <w:rPr>
                <w:sz w:val="20"/>
                <w:szCs w:val="20"/>
              </w:rPr>
              <w:t>质量管理</w:t>
            </w:r>
          </w:p>
          <w:p>
            <w:pPr>
              <w:spacing w:line="260" w:lineRule="exact"/>
              <w:jc w:val="center"/>
              <w:rPr>
                <w:sz w:val="20"/>
                <w:szCs w:val="20"/>
              </w:rPr>
            </w:pPr>
            <w:r>
              <w:rPr>
                <w:rFonts w:hint="eastAsia" w:ascii="宋体" w:hAnsi="宋体"/>
                <w:sz w:val="20"/>
                <w:szCs w:val="20"/>
              </w:rPr>
              <w:t>(</w:t>
            </w:r>
            <w:r>
              <w:rPr>
                <w:sz w:val="20"/>
                <w:szCs w:val="20"/>
              </w:rPr>
              <w:t>120分</w:t>
            </w:r>
            <w:r>
              <w:rPr>
                <w:rFonts w:hint="eastAsia" w:ascii="宋体" w:hAnsi="宋体"/>
                <w:sz w:val="20"/>
                <w:szCs w:val="20"/>
              </w:rPr>
              <w:t>)</w:t>
            </w:r>
          </w:p>
        </w:tc>
        <w:tc>
          <w:tcPr>
            <w:tcW w:w="0" w:type="auto"/>
            <w:vMerge w:val="restart"/>
            <w:vAlign w:val="center"/>
          </w:tcPr>
          <w:p>
            <w:pPr>
              <w:spacing w:line="260" w:lineRule="exact"/>
              <w:rPr>
                <w:sz w:val="20"/>
                <w:szCs w:val="20"/>
              </w:rPr>
            </w:pPr>
            <w:r>
              <w:rPr>
                <w:sz w:val="20"/>
                <w:szCs w:val="20"/>
              </w:rPr>
              <w:t>5.1 执行国家开放大学质量标准、落实质量报告工作、完成评估检查及整改工作的情况（50分）</w:t>
            </w:r>
          </w:p>
        </w:tc>
        <w:tc>
          <w:tcPr>
            <w:tcW w:w="2951" w:type="dxa"/>
            <w:vAlign w:val="center"/>
          </w:tcPr>
          <w:p>
            <w:pPr>
              <w:spacing w:line="260" w:lineRule="exact"/>
              <w:rPr>
                <w:sz w:val="20"/>
                <w:szCs w:val="20"/>
              </w:rPr>
            </w:pPr>
            <w:r>
              <w:rPr>
                <w:sz w:val="20"/>
                <w:szCs w:val="20"/>
              </w:rPr>
              <w:t xml:space="preserve">5.1.1 </w:t>
            </w:r>
            <w:r>
              <w:rPr>
                <w:rFonts w:hint="eastAsia"/>
                <w:sz w:val="20"/>
                <w:szCs w:val="20"/>
              </w:rPr>
              <w:t>分校</w:t>
            </w:r>
            <w:r>
              <w:rPr>
                <w:sz w:val="20"/>
                <w:szCs w:val="20"/>
              </w:rPr>
              <w:t>严格执行国家开放大学质量标准，并</w:t>
            </w:r>
            <w:r>
              <w:rPr>
                <w:rFonts w:hint="eastAsia"/>
                <w:sz w:val="20"/>
                <w:szCs w:val="20"/>
              </w:rPr>
              <w:t>组织所辖教学点</w:t>
            </w:r>
            <w:r>
              <w:rPr>
                <w:sz w:val="20"/>
                <w:szCs w:val="20"/>
              </w:rPr>
              <w:t>贯彻落实（20分）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分校执行国家开放大学质量标准及</w:t>
            </w:r>
            <w:r>
              <w:rPr>
                <w:color w:val="000000"/>
                <w:sz w:val="20"/>
                <w:szCs w:val="20"/>
              </w:rPr>
              <w:t>教职工对国家开放大学质量标准知晓的情况（10分）</w:t>
            </w:r>
          </w:p>
          <w:p>
            <w:pPr>
              <w:spacing w:line="260" w:lineRule="exact"/>
              <w:rPr>
                <w:color w:val="000000"/>
                <w:sz w:val="20"/>
                <w:szCs w:val="20"/>
              </w:rPr>
            </w:pPr>
            <w:r>
              <w:rPr>
                <w:color w:val="000000"/>
                <w:sz w:val="20"/>
                <w:szCs w:val="20"/>
              </w:rPr>
              <w:t>（2）</w:t>
            </w:r>
            <w:r>
              <w:rPr>
                <w:rFonts w:hint="eastAsia"/>
                <w:color w:val="000000"/>
                <w:sz w:val="20"/>
                <w:szCs w:val="20"/>
              </w:rPr>
              <w:t>分校组织所辖</w:t>
            </w:r>
            <w:r>
              <w:rPr>
                <w:rFonts w:hint="eastAsia"/>
                <w:sz w:val="20"/>
                <w:szCs w:val="20"/>
              </w:rPr>
              <w:t>教学点</w:t>
            </w:r>
            <w:r>
              <w:rPr>
                <w:color w:val="000000"/>
                <w:sz w:val="20"/>
                <w:szCs w:val="20"/>
              </w:rPr>
              <w:t>贯彻落实</w:t>
            </w:r>
            <w:r>
              <w:rPr>
                <w:rFonts w:hint="eastAsia"/>
                <w:color w:val="000000"/>
                <w:sz w:val="20"/>
                <w:szCs w:val="20"/>
              </w:rPr>
              <w:t>国家开放大学质量标准</w:t>
            </w:r>
            <w:r>
              <w:rPr>
                <w:color w:val="000000"/>
                <w:sz w:val="20"/>
                <w:szCs w:val="20"/>
              </w:rPr>
              <w:t>的情况（10分）</w:t>
            </w:r>
          </w:p>
        </w:tc>
        <w:tc>
          <w:tcPr>
            <w:tcW w:w="2410" w:type="dxa"/>
            <w:vAlign w:val="center"/>
          </w:tcPr>
          <w:p>
            <w:pPr>
              <w:spacing w:line="260" w:lineRule="exact"/>
              <w:rPr>
                <w:b/>
                <w:color w:val="000000"/>
                <w:sz w:val="20"/>
                <w:szCs w:val="20"/>
              </w:rPr>
            </w:pPr>
            <w:r>
              <w:rPr>
                <w:b/>
                <w:color w:val="000000"/>
                <w:sz w:val="20"/>
                <w:szCs w:val="20"/>
              </w:rPr>
              <w:t>各项工作以现行国开质量标准1.0版、《国家开放大学开放教育教学过程管理规范（试行）》为依据（如有最新的文件，以最新的作为支撑）。须呈现出教职工对质量标准的知晓情况。</w:t>
            </w:r>
          </w:p>
        </w:tc>
        <w:tc>
          <w:tcPr>
            <w:tcW w:w="1134" w:type="dxa"/>
            <w:vMerge w:val="restart"/>
            <w:vAlign w:val="center"/>
          </w:tcPr>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bookmarkStart w:id="1" w:name="_GoBack"/>
            <w:bookmarkEnd w:id="1"/>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rFonts w:hint="default" w:eastAsia="宋体"/>
                <w:b/>
                <w:color w:val="000000"/>
                <w:sz w:val="20"/>
                <w:szCs w:val="20"/>
                <w:lang w:val="en-US" w:eastAsia="zh-CN"/>
              </w:rPr>
            </w:pPr>
            <w:r>
              <w:rPr>
                <w:rFonts w:hint="eastAsia"/>
                <w:b/>
                <w:color w:val="000000"/>
                <w:sz w:val="20"/>
                <w:szCs w:val="20"/>
                <w:lang w:val="en-US" w:eastAsia="zh-CN"/>
              </w:rPr>
              <w:t>教研处</w:t>
            </w: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Cs/>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rFonts w:hint="default" w:eastAsia="宋体"/>
                <w:b/>
                <w:color w:val="000000"/>
                <w:sz w:val="20"/>
                <w:szCs w:val="20"/>
                <w:lang w:val="en-US" w:eastAsia="zh-CN"/>
              </w:rPr>
            </w:pPr>
            <w:r>
              <w:rPr>
                <w:rFonts w:hint="eastAsia"/>
                <w:b/>
                <w:color w:val="000000"/>
                <w:sz w:val="20"/>
                <w:szCs w:val="20"/>
                <w:lang w:val="en-US" w:eastAsia="zh-CN"/>
              </w:rPr>
              <w:t>教研处</w:t>
            </w: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ind w:firstLine="201" w:firstLineChars="100"/>
              <w:rPr>
                <w:b/>
                <w:color w:val="000000"/>
                <w:sz w:val="20"/>
                <w:szCs w:val="20"/>
              </w:rPr>
            </w:pPr>
          </w:p>
        </w:tc>
        <w:tc>
          <w:tcPr>
            <w:tcW w:w="850" w:type="dxa"/>
            <w:vAlign w:val="center"/>
          </w:tcPr>
          <w:p>
            <w:pPr>
              <w:spacing w:line="260" w:lineRule="exact"/>
              <w:jc w:val="cente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535"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5.1.2 质量报告编制认真，</w:t>
            </w:r>
            <w:r>
              <w:rPr>
                <w:rFonts w:hint="eastAsia"/>
                <w:sz w:val="20"/>
                <w:szCs w:val="20"/>
              </w:rPr>
              <w:t>分校</w:t>
            </w:r>
            <w:r>
              <w:rPr>
                <w:sz w:val="20"/>
                <w:szCs w:val="20"/>
              </w:rPr>
              <w:t>有落实</w:t>
            </w:r>
            <w:r>
              <w:rPr>
                <w:rFonts w:hint="eastAsia"/>
                <w:sz w:val="20"/>
                <w:szCs w:val="20"/>
              </w:rPr>
              <w:t>年度质量报告</w:t>
            </w:r>
            <w:r>
              <w:rPr>
                <w:sz w:val="20"/>
                <w:szCs w:val="20"/>
              </w:rPr>
              <w:t>报送机制（10分）</w:t>
            </w:r>
          </w:p>
        </w:tc>
        <w:tc>
          <w:tcPr>
            <w:tcW w:w="3544" w:type="dxa"/>
            <w:vAlign w:val="center"/>
          </w:tcPr>
          <w:p>
            <w:pPr>
              <w:spacing w:line="260" w:lineRule="exact"/>
              <w:rPr>
                <w:color w:val="000000"/>
                <w:sz w:val="20"/>
                <w:szCs w:val="20"/>
              </w:rPr>
            </w:pPr>
            <w:r>
              <w:rPr>
                <w:color w:val="000000"/>
                <w:sz w:val="20"/>
                <w:szCs w:val="20"/>
              </w:rPr>
              <w:t>（1）质量报告编写、有关数据（资料）的提交、报送情况（5分）</w:t>
            </w:r>
          </w:p>
          <w:p>
            <w:pPr>
              <w:spacing w:line="260" w:lineRule="exact"/>
              <w:rPr>
                <w:color w:val="000000"/>
                <w:sz w:val="20"/>
                <w:szCs w:val="20"/>
              </w:rPr>
            </w:pPr>
            <w:r>
              <w:rPr>
                <w:color w:val="000000"/>
                <w:sz w:val="20"/>
                <w:szCs w:val="20"/>
              </w:rPr>
              <w:t>（2）</w:t>
            </w:r>
            <w:r>
              <w:rPr>
                <w:rFonts w:hint="eastAsia"/>
                <w:color w:val="000000"/>
                <w:sz w:val="20"/>
                <w:szCs w:val="20"/>
              </w:rPr>
              <w:t>分校</w:t>
            </w:r>
            <w:r>
              <w:rPr>
                <w:color w:val="000000"/>
                <w:sz w:val="20"/>
                <w:szCs w:val="20"/>
              </w:rPr>
              <w:t>落实</w:t>
            </w:r>
            <w:r>
              <w:rPr>
                <w:rFonts w:hint="eastAsia"/>
                <w:color w:val="000000"/>
                <w:sz w:val="20"/>
                <w:szCs w:val="20"/>
              </w:rPr>
              <w:t>年度</w:t>
            </w:r>
            <w:r>
              <w:rPr>
                <w:color w:val="000000"/>
                <w:sz w:val="20"/>
                <w:szCs w:val="20"/>
              </w:rPr>
              <w:t>质量报告报送机制的情况（5分）</w:t>
            </w:r>
          </w:p>
        </w:tc>
        <w:tc>
          <w:tcPr>
            <w:tcW w:w="2410"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推进年度质量报告工作</w:t>
            </w:r>
            <w:r>
              <w:rPr>
                <w:rFonts w:hint="eastAsia"/>
                <w:color w:val="000000"/>
                <w:sz w:val="20"/>
                <w:szCs w:val="20"/>
              </w:rPr>
              <w:t>的情况</w:t>
            </w:r>
            <w:r>
              <w:rPr>
                <w:color w:val="000000"/>
                <w:sz w:val="20"/>
                <w:szCs w:val="20"/>
              </w:rPr>
              <w:t>，注意制度与机制、人员组成与实施、反馈及效果等；</w:t>
            </w:r>
          </w:p>
          <w:p>
            <w:pPr>
              <w:spacing w:line="260" w:lineRule="exact"/>
              <w:rPr>
                <w:color w:val="000000"/>
                <w:sz w:val="20"/>
                <w:szCs w:val="20"/>
              </w:rPr>
            </w:pPr>
            <w:r>
              <w:rPr>
                <w:color w:val="000000"/>
                <w:sz w:val="20"/>
                <w:szCs w:val="20"/>
              </w:rPr>
              <w:t>2</w:t>
            </w:r>
            <w:r>
              <w:rPr>
                <w:rFonts w:hint="eastAsia"/>
                <w:color w:val="000000"/>
                <w:sz w:val="20"/>
                <w:szCs w:val="20"/>
              </w:rPr>
              <w:t>．</w:t>
            </w:r>
            <w:r>
              <w:rPr>
                <w:color w:val="000000"/>
                <w:sz w:val="20"/>
                <w:szCs w:val="20"/>
              </w:rPr>
              <w:t>注意报告完成及时有效；数据准确，综合统筹特色彰显。</w:t>
            </w:r>
          </w:p>
        </w:tc>
        <w:tc>
          <w:tcPr>
            <w:tcW w:w="1134" w:type="dxa"/>
            <w:vMerge w:val="continue"/>
            <w:vAlign w:val="center"/>
          </w:tcPr>
          <w:p>
            <w:pPr>
              <w:spacing w:line="260" w:lineRule="exact"/>
              <w:jc w:val="center"/>
              <w:rPr>
                <w:b/>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548"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5.1.3 落实</w:t>
            </w:r>
            <w:r>
              <w:rPr>
                <w:rFonts w:hint="eastAsia"/>
                <w:sz w:val="20"/>
                <w:szCs w:val="20"/>
              </w:rPr>
              <w:t>省校</w:t>
            </w:r>
            <w:r>
              <w:rPr>
                <w:sz w:val="20"/>
                <w:szCs w:val="20"/>
              </w:rPr>
              <w:t>评价评估、检查督导等工作要求并有效整改（20分）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按省校部署，制定评估、检查工作方案、明确领导小组和工作小组，如期推进工作的情况（12分）</w:t>
            </w:r>
          </w:p>
          <w:p>
            <w:pPr>
              <w:spacing w:line="260" w:lineRule="exact"/>
              <w:rPr>
                <w:color w:val="000000"/>
                <w:sz w:val="20"/>
                <w:szCs w:val="20"/>
              </w:rPr>
            </w:pPr>
            <w:r>
              <w:rPr>
                <w:color w:val="000000"/>
                <w:sz w:val="20"/>
                <w:szCs w:val="20"/>
              </w:rPr>
              <w:t>（2）对省校评估、检查、督导发现的问题有效整改的情况（8分）</w:t>
            </w:r>
          </w:p>
        </w:tc>
        <w:tc>
          <w:tcPr>
            <w:tcW w:w="2410" w:type="dxa"/>
            <w:vAlign w:val="center"/>
          </w:tcPr>
          <w:p>
            <w:pPr>
              <w:spacing w:line="260" w:lineRule="exact"/>
              <w:rPr>
                <w:color w:val="000000"/>
                <w:sz w:val="20"/>
                <w:szCs w:val="20"/>
              </w:rPr>
            </w:pPr>
            <w:r>
              <w:rPr>
                <w:b/>
                <w:color w:val="000000"/>
                <w:sz w:val="20"/>
                <w:szCs w:val="20"/>
              </w:rPr>
              <w:t>重点是对待评估</w:t>
            </w:r>
            <w:r>
              <w:rPr>
                <w:rFonts w:hint="eastAsia"/>
                <w:b/>
                <w:color w:val="000000"/>
                <w:sz w:val="20"/>
                <w:szCs w:val="20"/>
              </w:rPr>
              <w:t>、检查</w:t>
            </w:r>
            <w:r>
              <w:rPr>
                <w:b/>
                <w:color w:val="000000"/>
                <w:sz w:val="20"/>
                <w:szCs w:val="20"/>
              </w:rPr>
              <w:t>的态度、制定的方案与措施、实施效果。</w:t>
            </w:r>
            <w:r>
              <w:rPr>
                <w:color w:val="000000"/>
                <w:sz w:val="20"/>
                <w:szCs w:val="20"/>
              </w:rPr>
              <w:t>注意自查自纠能力，以及对问题整改的立行立改和效果。</w:t>
            </w:r>
          </w:p>
        </w:tc>
        <w:tc>
          <w:tcPr>
            <w:tcW w:w="1134" w:type="dxa"/>
            <w:vMerge w:val="continue"/>
            <w:vAlign w:val="center"/>
          </w:tcPr>
          <w:p>
            <w:pPr>
              <w:spacing w:line="260" w:lineRule="exact"/>
              <w:jc w:val="center"/>
              <w:rPr>
                <w:b/>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 xml:space="preserve">5.2 </w:t>
            </w:r>
            <w:r>
              <w:rPr>
                <w:rFonts w:hint="eastAsia"/>
                <w:sz w:val="20"/>
                <w:szCs w:val="20"/>
              </w:rPr>
              <w:t>分校</w:t>
            </w:r>
            <w:r>
              <w:rPr>
                <w:sz w:val="20"/>
                <w:szCs w:val="20"/>
              </w:rPr>
              <w:t>质量管理团队和质量保证体系的建设与运行（70分）</w:t>
            </w:r>
          </w:p>
        </w:tc>
        <w:tc>
          <w:tcPr>
            <w:tcW w:w="2951" w:type="dxa"/>
            <w:vAlign w:val="center"/>
          </w:tcPr>
          <w:p>
            <w:pPr>
              <w:spacing w:line="260" w:lineRule="exact"/>
              <w:rPr>
                <w:sz w:val="20"/>
                <w:szCs w:val="20"/>
              </w:rPr>
            </w:pPr>
            <w:r>
              <w:rPr>
                <w:sz w:val="20"/>
                <w:szCs w:val="20"/>
              </w:rPr>
              <w:t>5.2.1 持续完善</w:t>
            </w:r>
            <w:r>
              <w:rPr>
                <w:rFonts w:hint="eastAsia"/>
                <w:sz w:val="20"/>
                <w:szCs w:val="20"/>
              </w:rPr>
              <w:t>分校</w:t>
            </w:r>
            <w:r>
              <w:rPr>
                <w:sz w:val="20"/>
                <w:szCs w:val="20"/>
              </w:rPr>
              <w:t>质量保证体系（20分）</w:t>
            </w:r>
          </w:p>
        </w:tc>
        <w:tc>
          <w:tcPr>
            <w:tcW w:w="3544" w:type="dxa"/>
            <w:vAlign w:val="center"/>
          </w:tcPr>
          <w:p>
            <w:pPr>
              <w:spacing w:line="260" w:lineRule="exact"/>
              <w:rPr>
                <w:color w:val="000000"/>
                <w:sz w:val="20"/>
                <w:szCs w:val="20"/>
              </w:rPr>
            </w:pPr>
            <w:r>
              <w:rPr>
                <w:color w:val="000000"/>
                <w:sz w:val="20"/>
                <w:szCs w:val="20"/>
              </w:rPr>
              <w:t>（1）对</w:t>
            </w:r>
            <w:r>
              <w:rPr>
                <w:rFonts w:hint="eastAsia"/>
                <w:sz w:val="20"/>
                <w:szCs w:val="20"/>
              </w:rPr>
              <w:t>省校</w:t>
            </w:r>
            <w:r>
              <w:rPr>
                <w:color w:val="000000"/>
                <w:sz w:val="20"/>
                <w:szCs w:val="20"/>
              </w:rPr>
              <w:t>办学质量保证体系的贯彻执行情况（10分）</w:t>
            </w:r>
          </w:p>
          <w:p>
            <w:pPr>
              <w:spacing w:line="260" w:lineRule="exact"/>
              <w:rPr>
                <w:color w:val="000000"/>
                <w:sz w:val="20"/>
                <w:szCs w:val="20"/>
              </w:rPr>
            </w:pPr>
            <w:r>
              <w:rPr>
                <w:color w:val="000000"/>
                <w:sz w:val="20"/>
                <w:szCs w:val="20"/>
              </w:rPr>
              <w:t>（2）</w:t>
            </w:r>
            <w:r>
              <w:rPr>
                <w:rFonts w:hint="eastAsia"/>
                <w:sz w:val="20"/>
                <w:szCs w:val="20"/>
              </w:rPr>
              <w:t>分校（站）</w:t>
            </w:r>
            <w:r>
              <w:rPr>
                <w:color w:val="000000"/>
                <w:sz w:val="20"/>
                <w:szCs w:val="20"/>
              </w:rPr>
              <w:t>办学质量保证体系的建设、完善及运行情况。（10分）</w:t>
            </w:r>
          </w:p>
        </w:tc>
        <w:tc>
          <w:tcPr>
            <w:tcW w:w="2410" w:type="dxa"/>
            <w:vAlign w:val="center"/>
          </w:tcPr>
          <w:p>
            <w:pPr>
              <w:spacing w:line="260" w:lineRule="exact"/>
              <w:rPr>
                <w:color w:val="000000"/>
                <w:sz w:val="20"/>
                <w:szCs w:val="20"/>
              </w:rPr>
            </w:pPr>
            <w:r>
              <w:rPr>
                <w:rFonts w:hint="eastAsia"/>
                <w:sz w:val="20"/>
                <w:szCs w:val="20"/>
              </w:rPr>
              <w:t>分校</w:t>
            </w:r>
            <w:r>
              <w:rPr>
                <w:color w:val="000000"/>
                <w:sz w:val="20"/>
                <w:szCs w:val="20"/>
              </w:rPr>
              <w:t>有质量保证体系建立，并有效运行，不断完善。注意要有实质工作开展。</w:t>
            </w:r>
          </w:p>
        </w:tc>
        <w:tc>
          <w:tcPr>
            <w:tcW w:w="1134" w:type="dxa"/>
            <w:vMerge w:val="continue"/>
            <w:vAlign w:val="center"/>
          </w:tcPr>
          <w:p>
            <w:pPr>
              <w:spacing w:line="260" w:lineRule="exact"/>
              <w:jc w:val="center"/>
              <w:rPr>
                <w:b/>
                <w:color w:val="000000"/>
                <w:sz w:val="20"/>
                <w:szCs w:val="20"/>
              </w:rPr>
            </w:pPr>
          </w:p>
        </w:tc>
        <w:tc>
          <w:tcPr>
            <w:tcW w:w="850" w:type="dxa"/>
            <w:vAlign w:val="center"/>
          </w:tcPr>
          <w:p>
            <w:pPr>
              <w:spacing w:line="260" w:lineRule="exact"/>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9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 xml:space="preserve">5.2.2 </w:t>
            </w:r>
            <w:r>
              <w:rPr>
                <w:rFonts w:hint="eastAsia"/>
                <w:sz w:val="20"/>
                <w:szCs w:val="20"/>
              </w:rPr>
              <w:t>分校</w:t>
            </w:r>
            <w:r>
              <w:rPr>
                <w:sz w:val="20"/>
                <w:szCs w:val="20"/>
              </w:rPr>
              <w:t>设有专人专职负责质量管理，</w:t>
            </w:r>
            <w:r>
              <w:rPr>
                <w:rFonts w:hint="eastAsia"/>
                <w:sz w:val="20"/>
                <w:szCs w:val="20"/>
              </w:rPr>
              <w:t>教学点</w:t>
            </w:r>
            <w:r>
              <w:rPr>
                <w:sz w:val="20"/>
                <w:szCs w:val="20"/>
              </w:rPr>
              <w:t>有专职人员负责质量管理；</w:t>
            </w:r>
            <w:r>
              <w:rPr>
                <w:rFonts w:hint="eastAsia"/>
                <w:sz w:val="20"/>
                <w:szCs w:val="20"/>
              </w:rPr>
              <w:t>分校（站）</w:t>
            </w:r>
            <w:r>
              <w:rPr>
                <w:sz w:val="20"/>
                <w:szCs w:val="20"/>
              </w:rPr>
              <w:t>建有质量管理团队且工作有效（20分）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分校</w:t>
            </w:r>
            <w:r>
              <w:rPr>
                <w:color w:val="000000"/>
                <w:sz w:val="20"/>
                <w:szCs w:val="20"/>
              </w:rPr>
              <w:t>质量管理岗位设置情况，</w:t>
            </w:r>
            <w:r>
              <w:rPr>
                <w:rFonts w:hint="eastAsia"/>
                <w:color w:val="000000"/>
                <w:sz w:val="20"/>
                <w:szCs w:val="20"/>
              </w:rPr>
              <w:t>教学点</w:t>
            </w:r>
            <w:r>
              <w:rPr>
                <w:color w:val="000000"/>
                <w:sz w:val="20"/>
                <w:szCs w:val="20"/>
              </w:rPr>
              <w:t>负责质量管理人员配置情况（10分）</w:t>
            </w:r>
          </w:p>
          <w:p>
            <w:pPr>
              <w:spacing w:line="260" w:lineRule="exact"/>
              <w:rPr>
                <w:color w:val="000000"/>
                <w:sz w:val="20"/>
                <w:szCs w:val="20"/>
              </w:rPr>
            </w:pPr>
            <w:r>
              <w:rPr>
                <w:color w:val="000000"/>
                <w:sz w:val="20"/>
                <w:szCs w:val="20"/>
              </w:rPr>
              <w:t>（2）</w:t>
            </w:r>
            <w:r>
              <w:rPr>
                <w:rFonts w:hint="eastAsia"/>
                <w:sz w:val="20"/>
                <w:szCs w:val="20"/>
              </w:rPr>
              <w:t>分校（站）</w:t>
            </w:r>
            <w:r>
              <w:rPr>
                <w:color w:val="000000"/>
                <w:sz w:val="20"/>
                <w:szCs w:val="20"/>
              </w:rPr>
              <w:t>质量管理团队及工作情况（10分）</w:t>
            </w:r>
          </w:p>
        </w:tc>
        <w:tc>
          <w:tcPr>
            <w:tcW w:w="2410" w:type="dxa"/>
            <w:vAlign w:val="center"/>
          </w:tcPr>
          <w:p>
            <w:pPr>
              <w:spacing w:line="260" w:lineRule="exact"/>
              <w:rPr>
                <w:color w:val="000000"/>
                <w:sz w:val="20"/>
                <w:szCs w:val="20"/>
              </w:rPr>
            </w:pPr>
            <w:r>
              <w:rPr>
                <w:b/>
                <w:color w:val="000000"/>
                <w:sz w:val="20"/>
                <w:szCs w:val="20"/>
              </w:rPr>
              <w:t>须有发文、专门或专人的实际支撑</w:t>
            </w:r>
            <w:r>
              <w:rPr>
                <w:color w:val="000000"/>
                <w:sz w:val="20"/>
                <w:szCs w:val="20"/>
              </w:rPr>
              <w:t>，主要查看重视质量管理工作的程度和业务实施效果；</w:t>
            </w:r>
            <w:r>
              <w:rPr>
                <w:rFonts w:hint="eastAsia"/>
                <w:sz w:val="20"/>
                <w:szCs w:val="20"/>
              </w:rPr>
              <w:t xml:space="preserve">分校 </w:t>
            </w:r>
            <w:r>
              <w:rPr>
                <w:color w:val="000000"/>
                <w:sz w:val="20"/>
                <w:szCs w:val="20"/>
              </w:rPr>
              <w:t>质量管理团队组成、日常工作开展和具体实施效果。</w:t>
            </w:r>
          </w:p>
        </w:tc>
        <w:tc>
          <w:tcPr>
            <w:tcW w:w="1134" w:type="dxa"/>
            <w:vMerge w:val="continue"/>
            <w:vAlign w:val="center"/>
          </w:tcPr>
          <w:p>
            <w:pPr>
              <w:spacing w:line="260" w:lineRule="exact"/>
              <w:jc w:val="center"/>
              <w:rPr>
                <w:b/>
                <w:color w:val="000000"/>
                <w:sz w:val="20"/>
                <w:szCs w:val="20"/>
              </w:rPr>
            </w:pPr>
          </w:p>
        </w:tc>
        <w:tc>
          <w:tcPr>
            <w:tcW w:w="850" w:type="dxa"/>
            <w:vAlign w:val="center"/>
          </w:tcPr>
          <w:p>
            <w:pPr>
              <w:spacing w:line="260" w:lineRule="exact"/>
              <w:jc w:val="cente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22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 xml:space="preserve">5.2.3 </w:t>
            </w:r>
            <w:r>
              <w:rPr>
                <w:rFonts w:hint="eastAsia"/>
                <w:sz w:val="20"/>
                <w:szCs w:val="20"/>
              </w:rPr>
              <w:t>分校</w:t>
            </w:r>
            <w:r>
              <w:rPr>
                <w:sz w:val="20"/>
                <w:szCs w:val="20"/>
              </w:rPr>
              <w:t>定期或不定期开展对</w:t>
            </w:r>
            <w:r>
              <w:rPr>
                <w:rFonts w:hint="eastAsia"/>
                <w:sz w:val="20"/>
                <w:szCs w:val="20"/>
              </w:rPr>
              <w:t>所辖教学点</w:t>
            </w:r>
            <w:r>
              <w:rPr>
                <w:sz w:val="20"/>
                <w:szCs w:val="20"/>
              </w:rPr>
              <w:t>的教学检查、评估、督导，通报结果并督促整改，违纪违规处置有记录（30分）</w:t>
            </w:r>
          </w:p>
        </w:tc>
        <w:tc>
          <w:tcPr>
            <w:tcW w:w="3544" w:type="dxa"/>
            <w:vAlign w:val="center"/>
          </w:tcPr>
          <w:p>
            <w:pPr>
              <w:spacing w:line="260" w:lineRule="exact"/>
              <w:rPr>
                <w:color w:val="000000"/>
                <w:sz w:val="20"/>
                <w:szCs w:val="20"/>
              </w:rPr>
            </w:pPr>
            <w:r>
              <w:rPr>
                <w:rFonts w:hint="eastAsia"/>
                <w:sz w:val="20"/>
                <w:szCs w:val="20"/>
              </w:rPr>
              <w:t>分校</w:t>
            </w:r>
            <w:r>
              <w:rPr>
                <w:color w:val="000000"/>
                <w:sz w:val="20"/>
                <w:szCs w:val="20"/>
              </w:rPr>
              <w:t>定期或不定期开展对</w:t>
            </w:r>
            <w:r>
              <w:rPr>
                <w:rFonts w:hint="eastAsia"/>
                <w:color w:val="000000"/>
                <w:sz w:val="20"/>
                <w:szCs w:val="20"/>
              </w:rPr>
              <w:t>所辖教学点</w:t>
            </w:r>
            <w:r>
              <w:rPr>
                <w:color w:val="000000"/>
                <w:sz w:val="20"/>
                <w:szCs w:val="20"/>
              </w:rPr>
              <w:t>的教学检查、评估、督导，通报结果并督促整改，违纪违规处置有记录。（30分）</w:t>
            </w:r>
          </w:p>
        </w:tc>
        <w:tc>
          <w:tcPr>
            <w:tcW w:w="2410" w:type="dxa"/>
            <w:vAlign w:val="center"/>
          </w:tcPr>
          <w:p>
            <w:pPr>
              <w:spacing w:line="260" w:lineRule="exact"/>
              <w:rPr>
                <w:color w:val="000000"/>
                <w:sz w:val="20"/>
                <w:szCs w:val="20"/>
              </w:rPr>
            </w:pPr>
            <w:r>
              <w:rPr>
                <w:b/>
                <w:color w:val="000000"/>
                <w:sz w:val="20"/>
                <w:szCs w:val="20"/>
              </w:rPr>
              <w:t>下发教学检查文件及工作报告、工作图片、新闻报道等支撑材料</w:t>
            </w:r>
            <w:r>
              <w:rPr>
                <w:color w:val="000000"/>
                <w:sz w:val="20"/>
                <w:szCs w:val="20"/>
              </w:rPr>
              <w:t>。同时要有检查通报，违纪处置材料及后续整改支撑材料。</w:t>
            </w:r>
          </w:p>
        </w:tc>
        <w:tc>
          <w:tcPr>
            <w:tcW w:w="1134" w:type="dxa"/>
            <w:vMerge w:val="continue"/>
            <w:vAlign w:val="center"/>
          </w:tcPr>
          <w:p>
            <w:pPr>
              <w:spacing w:line="260" w:lineRule="exact"/>
              <w:jc w:val="center"/>
              <w:rPr>
                <w:b/>
                <w:color w:val="000000"/>
                <w:sz w:val="20"/>
                <w:szCs w:val="20"/>
              </w:rPr>
            </w:pPr>
          </w:p>
        </w:tc>
        <w:tc>
          <w:tcPr>
            <w:tcW w:w="850" w:type="dxa"/>
            <w:vAlign w:val="center"/>
          </w:tcPr>
          <w:p>
            <w:pPr>
              <w:spacing w:line="260" w:lineRule="exact"/>
              <w:jc w:val="cente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1075" w:hRule="atLeast"/>
          <w:jc w:val="center"/>
        </w:trPr>
        <w:tc>
          <w:tcPr>
            <w:tcW w:w="0" w:type="auto"/>
            <w:vMerge w:val="restart"/>
            <w:vAlign w:val="center"/>
          </w:tcPr>
          <w:p>
            <w:pPr>
              <w:spacing w:line="260" w:lineRule="exact"/>
              <w:jc w:val="center"/>
              <w:rPr>
                <w:sz w:val="20"/>
                <w:szCs w:val="20"/>
              </w:rPr>
            </w:pPr>
            <w:r>
              <w:rPr>
                <w:sz w:val="20"/>
                <w:szCs w:val="20"/>
              </w:rPr>
              <w:t>6</w:t>
            </w:r>
            <w:r>
              <w:rPr>
                <w:rFonts w:hint="eastAsia"/>
                <w:sz w:val="20"/>
                <w:szCs w:val="20"/>
              </w:rPr>
              <w:t>．</w:t>
            </w:r>
            <w:r>
              <w:rPr>
                <w:sz w:val="20"/>
                <w:szCs w:val="20"/>
              </w:rPr>
              <w:t>创新与服务</w:t>
            </w:r>
          </w:p>
          <w:p>
            <w:pPr>
              <w:spacing w:line="260" w:lineRule="exact"/>
              <w:jc w:val="center"/>
              <w:rPr>
                <w:sz w:val="20"/>
                <w:szCs w:val="20"/>
              </w:rPr>
            </w:pPr>
            <w:r>
              <w:rPr>
                <w:sz w:val="20"/>
                <w:szCs w:val="20"/>
              </w:rPr>
              <w:t>（90分）</w:t>
            </w:r>
          </w:p>
        </w:tc>
        <w:tc>
          <w:tcPr>
            <w:tcW w:w="0" w:type="auto"/>
            <w:vMerge w:val="restart"/>
            <w:vAlign w:val="center"/>
          </w:tcPr>
          <w:p>
            <w:pPr>
              <w:spacing w:line="260" w:lineRule="exact"/>
              <w:rPr>
                <w:sz w:val="20"/>
                <w:szCs w:val="20"/>
              </w:rPr>
            </w:pPr>
            <w:r>
              <w:rPr>
                <w:sz w:val="20"/>
                <w:szCs w:val="20"/>
              </w:rPr>
              <w:t>6.1 人才培养模式改革、教学改革、管理制度创新（40分）</w:t>
            </w:r>
          </w:p>
        </w:tc>
        <w:tc>
          <w:tcPr>
            <w:tcW w:w="2951" w:type="dxa"/>
            <w:vAlign w:val="center"/>
          </w:tcPr>
          <w:p>
            <w:pPr>
              <w:spacing w:line="260" w:lineRule="exact"/>
              <w:rPr>
                <w:sz w:val="20"/>
                <w:szCs w:val="20"/>
              </w:rPr>
            </w:pPr>
            <w:r>
              <w:rPr>
                <w:sz w:val="20"/>
                <w:szCs w:val="20"/>
              </w:rPr>
              <w:t>6.1.1 积极参加</w:t>
            </w:r>
            <w:r>
              <w:rPr>
                <w:rFonts w:hint="eastAsia"/>
                <w:sz w:val="20"/>
                <w:szCs w:val="20"/>
              </w:rPr>
              <w:t>省校</w:t>
            </w:r>
            <w:r>
              <w:rPr>
                <w:sz w:val="20"/>
                <w:szCs w:val="20"/>
              </w:rPr>
              <w:t>组织的教学改革试点，教学改革思路清晰，有举措、有进展（20分）</w:t>
            </w:r>
          </w:p>
        </w:tc>
        <w:tc>
          <w:tcPr>
            <w:tcW w:w="3544" w:type="dxa"/>
            <w:vAlign w:val="center"/>
          </w:tcPr>
          <w:p>
            <w:pPr>
              <w:spacing w:line="260" w:lineRule="exact"/>
              <w:rPr>
                <w:color w:val="000000"/>
                <w:sz w:val="20"/>
                <w:szCs w:val="20"/>
              </w:rPr>
            </w:pPr>
            <w:r>
              <w:rPr>
                <w:color w:val="000000"/>
                <w:sz w:val="20"/>
                <w:szCs w:val="20"/>
              </w:rPr>
              <w:t>（1）</w:t>
            </w:r>
            <w:r>
              <w:rPr>
                <w:rFonts w:hint="eastAsia"/>
                <w:color w:val="000000"/>
                <w:sz w:val="20"/>
                <w:szCs w:val="20"/>
              </w:rPr>
              <w:t>针对开放教育</w:t>
            </w:r>
            <w:r>
              <w:rPr>
                <w:color w:val="000000"/>
                <w:sz w:val="20"/>
                <w:szCs w:val="20"/>
              </w:rPr>
              <w:t>教学模式、管理模式、运行机制的提炼表述情况（10分）</w:t>
            </w:r>
          </w:p>
          <w:p>
            <w:pPr>
              <w:spacing w:line="260" w:lineRule="exact"/>
              <w:rPr>
                <w:color w:val="000000"/>
                <w:sz w:val="20"/>
                <w:szCs w:val="20"/>
              </w:rPr>
            </w:pPr>
            <w:r>
              <w:rPr>
                <w:color w:val="000000"/>
                <w:sz w:val="20"/>
                <w:szCs w:val="20"/>
              </w:rPr>
              <w:t>（2）改革的措施、进展、痕迹、成效情况（10分）</w:t>
            </w:r>
          </w:p>
        </w:tc>
        <w:tc>
          <w:tcPr>
            <w:tcW w:w="2410" w:type="dxa"/>
            <w:vAlign w:val="center"/>
          </w:tcPr>
          <w:p>
            <w:pPr>
              <w:spacing w:line="260" w:lineRule="exact"/>
              <w:rPr>
                <w:color w:val="000000"/>
                <w:sz w:val="20"/>
                <w:szCs w:val="20"/>
              </w:rPr>
            </w:pPr>
            <w:r>
              <w:rPr>
                <w:color w:val="000000"/>
                <w:sz w:val="20"/>
                <w:szCs w:val="20"/>
              </w:rPr>
              <w:t>检查改革相关政策文件、制度机制，改革思路、措施、进展、成效，要有据可查或有迹可循。</w:t>
            </w:r>
          </w:p>
        </w:tc>
        <w:tc>
          <w:tcPr>
            <w:tcW w:w="1134" w:type="dxa"/>
            <w:vMerge w:val="restart"/>
            <w:vAlign w:val="center"/>
          </w:tcPr>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rFonts w:hint="default" w:eastAsia="宋体"/>
                <w:b/>
                <w:color w:val="000000"/>
                <w:sz w:val="20"/>
                <w:szCs w:val="20"/>
                <w:lang w:val="en-US" w:eastAsia="zh-CN"/>
              </w:rPr>
            </w:pPr>
            <w:r>
              <w:rPr>
                <w:rFonts w:hint="eastAsia"/>
                <w:b/>
                <w:color w:val="000000"/>
                <w:sz w:val="20"/>
                <w:szCs w:val="20"/>
                <w:lang w:val="en-US" w:eastAsia="zh-CN"/>
              </w:rPr>
              <w:t>教研处</w:t>
            </w:r>
          </w:p>
          <w:p>
            <w:pPr>
              <w:spacing w:line="260" w:lineRule="exact"/>
              <w:jc w:val="center"/>
              <w:rPr>
                <w:b/>
                <w:color w:val="000000"/>
                <w:sz w:val="20"/>
                <w:szCs w:val="20"/>
              </w:rPr>
            </w:pPr>
          </w:p>
          <w:p>
            <w:pPr>
              <w:spacing w:line="260" w:lineRule="exact"/>
              <w:jc w:val="center"/>
              <w:rPr>
                <w:rFonts w:hint="eastAsia"/>
                <w:b/>
                <w:color w:val="000000"/>
                <w:sz w:val="20"/>
                <w:szCs w:val="20"/>
                <w:lang w:val="en-US" w:eastAsia="zh-CN"/>
              </w:rPr>
            </w:pPr>
          </w:p>
          <w:p>
            <w:pPr>
              <w:spacing w:line="260" w:lineRule="exact"/>
              <w:jc w:val="center"/>
              <w:rPr>
                <w:rFonts w:hint="eastAsia"/>
                <w:b/>
                <w:color w:val="000000"/>
                <w:sz w:val="20"/>
                <w:szCs w:val="20"/>
                <w:lang w:val="en-US" w:eastAsia="zh-CN"/>
              </w:rPr>
            </w:pPr>
          </w:p>
          <w:p>
            <w:pPr>
              <w:spacing w:line="260" w:lineRule="exact"/>
              <w:jc w:val="center"/>
              <w:rPr>
                <w:rFonts w:hint="eastAsia"/>
                <w:b/>
                <w:color w:val="000000"/>
                <w:sz w:val="20"/>
                <w:szCs w:val="20"/>
                <w:lang w:val="en-US" w:eastAsia="zh-CN"/>
              </w:rPr>
            </w:pPr>
          </w:p>
          <w:p>
            <w:pPr>
              <w:spacing w:line="260" w:lineRule="exact"/>
              <w:jc w:val="center"/>
              <w:rPr>
                <w:rFonts w:hint="eastAsia"/>
                <w:b/>
                <w:color w:val="000000"/>
                <w:sz w:val="20"/>
                <w:szCs w:val="20"/>
                <w:lang w:val="en-US" w:eastAsia="zh-CN"/>
              </w:rPr>
            </w:pPr>
          </w:p>
          <w:p>
            <w:pPr>
              <w:spacing w:line="260" w:lineRule="exact"/>
              <w:jc w:val="center"/>
              <w:rPr>
                <w:rFonts w:hint="default" w:eastAsia="宋体"/>
                <w:b/>
                <w:color w:val="000000"/>
                <w:sz w:val="20"/>
                <w:szCs w:val="20"/>
                <w:lang w:val="en-US" w:eastAsia="zh-CN"/>
              </w:rPr>
            </w:pPr>
            <w:r>
              <w:rPr>
                <w:rFonts w:hint="eastAsia"/>
                <w:b/>
                <w:color w:val="000000"/>
                <w:sz w:val="20"/>
                <w:szCs w:val="20"/>
                <w:lang w:val="en-US" w:eastAsia="zh-CN"/>
              </w:rPr>
              <w:t>终教处</w:t>
            </w: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jc w:val="center"/>
              <w:rPr>
                <w:b/>
                <w:color w:val="000000"/>
                <w:sz w:val="20"/>
                <w:szCs w:val="20"/>
              </w:rPr>
            </w:pPr>
          </w:p>
          <w:p>
            <w:pPr>
              <w:spacing w:line="260" w:lineRule="exact"/>
              <w:ind w:firstLine="201" w:firstLineChars="100"/>
              <w:jc w:val="center"/>
              <w:rPr>
                <w:b/>
                <w:color w:val="000000"/>
                <w:sz w:val="20"/>
                <w:szCs w:val="20"/>
              </w:rPr>
            </w:pPr>
          </w:p>
          <w:p>
            <w:pPr>
              <w:spacing w:line="260" w:lineRule="exact"/>
              <w:ind w:firstLine="200" w:firstLineChars="100"/>
              <w:jc w:val="center"/>
              <w:rPr>
                <w:b/>
                <w:color w:val="000000"/>
                <w:sz w:val="20"/>
                <w:szCs w:val="20"/>
              </w:rPr>
            </w:pPr>
            <w:r>
              <w:rPr>
                <w:sz w:val="20"/>
              </w:rPr>
              <mc:AlternateContent>
                <mc:Choice Requires="wps">
                  <w:drawing>
                    <wp:anchor distT="0" distB="0" distL="114300" distR="114300" simplePos="0" relativeHeight="251672576" behindDoc="0" locked="0" layoutInCell="1" allowOverlap="1">
                      <wp:simplePos x="0" y="0"/>
                      <wp:positionH relativeFrom="column">
                        <wp:posOffset>-47625</wp:posOffset>
                      </wp:positionH>
                      <wp:positionV relativeFrom="paragraph">
                        <wp:posOffset>34925</wp:posOffset>
                      </wp:positionV>
                      <wp:extent cx="714375" cy="0"/>
                      <wp:effectExtent l="0" t="6350" r="0" b="6350"/>
                      <wp:wrapNone/>
                      <wp:docPr id="16" name="直接连接符 16"/>
                      <wp:cNvGraphicFramePr/>
                      <a:graphic xmlns:a="http://schemas.openxmlformats.org/drawingml/2006/main">
                        <a:graphicData uri="http://schemas.microsoft.com/office/word/2010/wordprocessingShape">
                          <wps:wsp>
                            <wps:cNvCnPr/>
                            <wps:spPr>
                              <a:xfrm>
                                <a:off x="8288020" y="5407660"/>
                                <a:ext cx="714375" cy="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margin-left:-3.75pt;margin-top:2.75pt;height:0pt;width:56.25pt;z-index:251672576;mso-width-relative:page;mso-height-relative:page;" filled="f" stroked="t" coordsize="21600,21600" o:gfxdata="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mkAy/VAAAABgEAAA8AAAAAAAAAAQAgAAAAIgAAAGRycy9kb3ducmV2LnhtbFBLAQIUABQA&#10;AAAIAIdO4kDgJN6I8wEAAL4DAAAOAAAAAAAAAAEAIAAAACQBAABkcnMvZTJvRG9jLnhtbFBLBQYA&#10;AAAABgAGAFkBAACJBQAAAAA=&#10;">
                      <v:fill on="f" focussize="0,0"/>
                      <v:stroke weight="1pt" color="#000000" miterlimit="8" joinstyle="miter"/>
                      <v:imagedata o:title=""/>
                      <o:lock v:ext="edit" aspectratio="f"/>
                    </v:line>
                  </w:pict>
                </mc:Fallback>
              </mc:AlternateContent>
            </w:r>
          </w:p>
          <w:p>
            <w:pPr>
              <w:spacing w:line="260" w:lineRule="exact"/>
              <w:ind w:firstLine="201" w:firstLineChars="100"/>
              <w:jc w:val="center"/>
              <w:rPr>
                <w:rFonts w:hint="default" w:eastAsia="宋体"/>
                <w:b/>
                <w:color w:val="000000"/>
                <w:sz w:val="20"/>
                <w:szCs w:val="20"/>
                <w:lang w:val="en-US" w:eastAsia="zh-CN"/>
              </w:rPr>
            </w:pPr>
            <w:r>
              <w:rPr>
                <w:rFonts w:hint="eastAsia"/>
                <w:b/>
                <w:color w:val="000000"/>
                <w:sz w:val="20"/>
                <w:szCs w:val="20"/>
                <w:lang w:val="en-US" w:eastAsia="zh-CN"/>
              </w:rPr>
              <w:t>党政办</w:t>
            </w:r>
          </w:p>
          <w:p>
            <w:pPr>
              <w:spacing w:line="260" w:lineRule="exact"/>
              <w:ind w:firstLine="200" w:firstLineChars="100"/>
              <w:jc w:val="center"/>
              <w:rPr>
                <w:bCs/>
                <w:color w:val="000000"/>
                <w:sz w:val="20"/>
                <w:szCs w:val="20"/>
              </w:rPr>
            </w:pP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6.1.2 教学管理制度建设有创新（20分）</w:t>
            </w:r>
          </w:p>
        </w:tc>
        <w:tc>
          <w:tcPr>
            <w:tcW w:w="3544" w:type="dxa"/>
            <w:vAlign w:val="center"/>
          </w:tcPr>
          <w:p>
            <w:pPr>
              <w:spacing w:line="260" w:lineRule="exact"/>
              <w:rPr>
                <w:color w:val="000000"/>
                <w:sz w:val="20"/>
                <w:szCs w:val="20"/>
              </w:rPr>
            </w:pPr>
            <w:r>
              <w:rPr>
                <w:color w:val="000000"/>
                <w:sz w:val="20"/>
                <w:szCs w:val="20"/>
              </w:rPr>
              <w:t>（1）教学管理制度建设在全面规范基础上的特色、创新程度（10分）</w:t>
            </w:r>
          </w:p>
          <w:p>
            <w:pPr>
              <w:spacing w:line="260" w:lineRule="exact"/>
              <w:rPr>
                <w:color w:val="000000"/>
                <w:sz w:val="20"/>
                <w:szCs w:val="20"/>
              </w:rPr>
            </w:pPr>
            <w:r>
              <w:rPr>
                <w:color w:val="000000"/>
                <w:sz w:val="20"/>
                <w:szCs w:val="20"/>
              </w:rPr>
              <w:t>（2）可复制、可推广的程度（10分）</w:t>
            </w:r>
          </w:p>
        </w:tc>
        <w:tc>
          <w:tcPr>
            <w:tcW w:w="2410" w:type="dxa"/>
            <w:vAlign w:val="center"/>
          </w:tcPr>
          <w:p>
            <w:pPr>
              <w:spacing w:line="260" w:lineRule="exact"/>
              <w:rPr>
                <w:color w:val="000000"/>
                <w:sz w:val="20"/>
                <w:szCs w:val="20"/>
              </w:rPr>
            </w:pPr>
            <w:r>
              <w:rPr>
                <w:color w:val="000000"/>
                <w:sz w:val="20"/>
                <w:szCs w:val="20"/>
              </w:rPr>
              <w:t>注重工作创新性和可推广性。</w:t>
            </w:r>
          </w:p>
        </w:tc>
        <w:tc>
          <w:tcPr>
            <w:tcW w:w="1134" w:type="dxa"/>
            <w:vMerge w:val="continue"/>
            <w:vAlign w:val="center"/>
          </w:tcPr>
          <w:p>
            <w:pPr>
              <w:spacing w:line="260" w:lineRule="exact"/>
              <w:ind w:firstLine="200" w:firstLineChars="100"/>
              <w:jc w:val="center"/>
              <w:rPr>
                <w:color w:val="000000"/>
                <w:sz w:val="20"/>
                <w:szCs w:val="20"/>
              </w:rPr>
            </w:pPr>
          </w:p>
        </w:tc>
        <w:tc>
          <w:tcPr>
            <w:tcW w:w="850" w:type="dxa"/>
            <w:vAlign w:val="center"/>
          </w:tcPr>
          <w:p>
            <w:pPr>
              <w:spacing w:line="260" w:lineRule="exact"/>
              <w:ind w:firstLine="200" w:firstLineChars="100"/>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restart"/>
            <w:vAlign w:val="center"/>
          </w:tcPr>
          <w:p>
            <w:pPr>
              <w:spacing w:line="260" w:lineRule="exact"/>
              <w:rPr>
                <w:sz w:val="20"/>
                <w:szCs w:val="20"/>
              </w:rPr>
            </w:pPr>
            <w:r>
              <w:rPr>
                <w:sz w:val="20"/>
                <w:szCs w:val="20"/>
              </w:rPr>
              <w:t>6.2 服务经济社会发展的效果与影响（50分）</w:t>
            </w:r>
          </w:p>
        </w:tc>
        <w:tc>
          <w:tcPr>
            <w:tcW w:w="2951" w:type="dxa"/>
            <w:vAlign w:val="center"/>
          </w:tcPr>
          <w:p>
            <w:pPr>
              <w:spacing w:line="260" w:lineRule="exact"/>
              <w:rPr>
                <w:sz w:val="20"/>
                <w:szCs w:val="20"/>
              </w:rPr>
            </w:pPr>
            <w:r>
              <w:rPr>
                <w:sz w:val="20"/>
                <w:szCs w:val="20"/>
              </w:rPr>
              <w:t>6.2.1 积极服务区域经济社会发展，在当地的社会影响正面、较好（25分）</w:t>
            </w:r>
          </w:p>
        </w:tc>
        <w:tc>
          <w:tcPr>
            <w:tcW w:w="3544" w:type="dxa"/>
            <w:vAlign w:val="center"/>
          </w:tcPr>
          <w:p>
            <w:pPr>
              <w:spacing w:line="260" w:lineRule="exact"/>
              <w:rPr>
                <w:color w:val="000000"/>
                <w:sz w:val="20"/>
                <w:szCs w:val="20"/>
              </w:rPr>
            </w:pPr>
            <w:r>
              <w:rPr>
                <w:color w:val="000000"/>
                <w:sz w:val="20"/>
                <w:szCs w:val="20"/>
              </w:rPr>
              <w:t>（1）学历教育人才培养在当地的正面社会影响情况（10分）</w:t>
            </w:r>
          </w:p>
          <w:p>
            <w:pPr>
              <w:spacing w:line="260" w:lineRule="exact"/>
              <w:rPr>
                <w:color w:val="000000"/>
                <w:sz w:val="20"/>
                <w:szCs w:val="20"/>
              </w:rPr>
            </w:pPr>
            <w:r>
              <w:rPr>
                <w:color w:val="000000"/>
                <w:sz w:val="20"/>
                <w:szCs w:val="20"/>
              </w:rPr>
              <w:t>（2）非学历教育、社区老年教育、社会培训等在当地的正面社会影响情况（15分）</w:t>
            </w:r>
          </w:p>
        </w:tc>
        <w:tc>
          <w:tcPr>
            <w:tcW w:w="2410" w:type="dxa"/>
            <w:vAlign w:val="center"/>
          </w:tcPr>
          <w:p>
            <w:pPr>
              <w:spacing w:line="260" w:lineRule="exact"/>
              <w:rPr>
                <w:color w:val="000000"/>
                <w:sz w:val="20"/>
                <w:szCs w:val="20"/>
              </w:rPr>
            </w:pPr>
            <w:r>
              <w:rPr>
                <w:sz w:val="20"/>
              </w:rPr>
              <mc:AlternateContent>
                <mc:Choice Requires="wps">
                  <w:drawing>
                    <wp:anchor distT="0" distB="0" distL="114300" distR="114300" simplePos="0" relativeHeight="251671552" behindDoc="0" locked="0" layoutInCell="1" allowOverlap="1">
                      <wp:simplePos x="0" y="0"/>
                      <wp:positionH relativeFrom="column">
                        <wp:posOffset>1473200</wp:posOffset>
                      </wp:positionH>
                      <wp:positionV relativeFrom="paragraph">
                        <wp:posOffset>-4445</wp:posOffset>
                      </wp:positionV>
                      <wp:extent cx="762000" cy="6350"/>
                      <wp:effectExtent l="0" t="0" r="0" b="0"/>
                      <wp:wrapNone/>
                      <wp:docPr id="15" name="直接连接符 15"/>
                      <wp:cNvGraphicFramePr/>
                      <a:graphic xmlns:a="http://schemas.openxmlformats.org/drawingml/2006/main">
                        <a:graphicData uri="http://schemas.microsoft.com/office/word/2010/wordprocessingShape">
                          <wps:wsp>
                            <wps:cNvCnPr/>
                            <wps:spPr>
                              <a:xfrm flipV="1">
                                <a:off x="8249920" y="4064635"/>
                                <a:ext cx="762000" cy="6350"/>
                              </a:xfrm>
                              <a:prstGeom prst="line">
                                <a:avLst/>
                              </a:prstGeom>
                            </wps:spPr>
                            <wps:style>
                              <a:lnRef idx="2">
                                <a:prstClr val="black"/>
                              </a:lnRef>
                              <a:fillRef idx="0">
                                <a:prstClr val="black"/>
                              </a:fillRef>
                              <a:effectRef idx="1">
                                <a:prstClr val="black"/>
                              </a:effectRef>
                              <a:fontRef idx="minor">
                                <a:schemeClr val="tx1"/>
                              </a:fontRef>
                            </wps:style>
                            <wps:bodyPr/>
                          </wps:wsp>
                        </a:graphicData>
                      </a:graphic>
                    </wp:anchor>
                  </w:drawing>
                </mc:Choice>
                <mc:Fallback>
                  <w:pict>
                    <v:line id="_x0000_s1026" o:spid="_x0000_s1026" o:spt="20" style="position:absolute;left:0pt;flip:y;margin-left:116pt;margin-top:-0.35pt;height:0.5pt;width:60pt;z-index:251671552;mso-width-relative:page;mso-height-relative:page;" filled="f" stroked="t" coordsize="21600,21600" o:gfxdata="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Cyh9NMAAAAGAQAADwAAAAAAAAABACAAAAAiAAAAZHJzL2Rvd25yZXYueG1sUEsB&#10;AhQAFAAAAAgAh07iQI48sUD6AQAAywMAAA4AAAAAAAAAAQAgAAAAIgEAAGRycy9lMm9Eb2MueG1s&#10;UEsFBgAAAAAGAAYAWQEAAI4FAAAAAA==&#10;">
                      <v:fill on="f" focussize="0,0"/>
                      <v:stroke weight="1pt" color="#000000" miterlimit="8" joinstyle="miter"/>
                      <v:imagedata o:title=""/>
                      <o:lock v:ext="edit" aspectratio="f"/>
                    </v:line>
                  </w:pict>
                </mc:Fallback>
              </mc:AlternateContent>
            </w:r>
            <w:r>
              <w:rPr>
                <w:color w:val="000000"/>
                <w:sz w:val="20"/>
                <w:szCs w:val="20"/>
              </w:rPr>
              <w:t>1</w:t>
            </w:r>
            <w:r>
              <w:rPr>
                <w:rFonts w:hint="eastAsia"/>
                <w:color w:val="000000"/>
                <w:sz w:val="20"/>
                <w:szCs w:val="20"/>
              </w:rPr>
              <w:t>．</w:t>
            </w:r>
            <w:r>
              <w:rPr>
                <w:color w:val="000000"/>
                <w:sz w:val="20"/>
                <w:szCs w:val="20"/>
              </w:rPr>
              <w:t>6.2指标包括学历教育和非学历教育成效。注意是否业务都开展，对</w:t>
            </w:r>
            <w:r>
              <w:rPr>
                <w:rFonts w:hint="eastAsia"/>
                <w:color w:val="000000"/>
                <w:sz w:val="20"/>
                <w:szCs w:val="20"/>
              </w:rPr>
              <w:t>省校（分部）</w:t>
            </w:r>
            <w:r>
              <w:rPr>
                <w:color w:val="000000"/>
                <w:sz w:val="20"/>
                <w:szCs w:val="20"/>
              </w:rPr>
              <w:t>相关工作的参与和支持度，自身的创新及效果，综合判定。</w:t>
            </w:r>
          </w:p>
          <w:p>
            <w:pPr>
              <w:spacing w:line="260" w:lineRule="exact"/>
              <w:rPr>
                <w:color w:val="000000"/>
                <w:sz w:val="20"/>
                <w:szCs w:val="20"/>
              </w:rPr>
            </w:pPr>
            <w:r>
              <w:rPr>
                <w:color w:val="000000"/>
                <w:sz w:val="20"/>
                <w:szCs w:val="20"/>
              </w:rPr>
              <w:t>2</w:t>
            </w:r>
            <w:r>
              <w:rPr>
                <w:rFonts w:hint="eastAsia"/>
                <w:color w:val="000000"/>
                <w:sz w:val="20"/>
                <w:szCs w:val="20"/>
              </w:rPr>
              <w:t>．</w:t>
            </w:r>
            <w:r>
              <w:rPr>
                <w:color w:val="000000"/>
                <w:sz w:val="20"/>
                <w:szCs w:val="20"/>
              </w:rPr>
              <w:t>观测点2所涉及的三个方面各占5分。</w:t>
            </w:r>
          </w:p>
        </w:tc>
        <w:tc>
          <w:tcPr>
            <w:tcW w:w="1134" w:type="dxa"/>
            <w:vMerge w:val="continue"/>
            <w:vAlign w:val="center"/>
          </w:tcPr>
          <w:p>
            <w:pPr>
              <w:spacing w:line="260" w:lineRule="exact"/>
              <w:jc w:val="center"/>
              <w:rPr>
                <w:color w:val="000000"/>
                <w:sz w:val="20"/>
                <w:szCs w:val="20"/>
              </w:rPr>
            </w:pP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6.2.2 当地政府或教育行政部门对办学单位有政策、项目的支持或投入（10分）</w:t>
            </w:r>
          </w:p>
        </w:tc>
        <w:tc>
          <w:tcPr>
            <w:tcW w:w="3544" w:type="dxa"/>
            <w:vAlign w:val="center"/>
          </w:tcPr>
          <w:p>
            <w:pPr>
              <w:spacing w:line="260" w:lineRule="exact"/>
              <w:rPr>
                <w:color w:val="000000"/>
                <w:sz w:val="20"/>
                <w:szCs w:val="20"/>
              </w:rPr>
            </w:pPr>
            <w:r>
              <w:rPr>
                <w:color w:val="000000"/>
                <w:sz w:val="20"/>
                <w:szCs w:val="20"/>
              </w:rPr>
              <w:t>（1）当地政府或教育行政部门对办学有支持性政策性批文（5分）</w:t>
            </w:r>
          </w:p>
          <w:p>
            <w:pPr>
              <w:spacing w:line="260" w:lineRule="exact"/>
              <w:rPr>
                <w:color w:val="000000"/>
                <w:sz w:val="20"/>
                <w:szCs w:val="20"/>
              </w:rPr>
            </w:pPr>
            <w:r>
              <w:rPr>
                <w:color w:val="000000"/>
                <w:sz w:val="20"/>
                <w:szCs w:val="20"/>
              </w:rPr>
              <w:t>（2）当地政府或教育行政部门对开放大学的项目立项、财政拨款情况（5分）</w:t>
            </w:r>
          </w:p>
        </w:tc>
        <w:tc>
          <w:tcPr>
            <w:tcW w:w="2410" w:type="dxa"/>
            <w:vAlign w:val="center"/>
          </w:tcPr>
          <w:p>
            <w:pPr>
              <w:spacing w:line="260" w:lineRule="exact"/>
              <w:rPr>
                <w:color w:val="000000"/>
                <w:sz w:val="20"/>
                <w:szCs w:val="20"/>
              </w:rPr>
            </w:pPr>
            <w:r>
              <w:rPr>
                <w:color w:val="000000"/>
                <w:sz w:val="20"/>
                <w:szCs w:val="20"/>
              </w:rPr>
              <w:t>须提供批文等支撑材料。</w:t>
            </w:r>
          </w:p>
        </w:tc>
        <w:tc>
          <w:tcPr>
            <w:tcW w:w="1134" w:type="dxa"/>
            <w:vMerge w:val="continue"/>
            <w:vAlign w:val="center"/>
          </w:tcPr>
          <w:p>
            <w:pPr>
              <w:spacing w:line="260" w:lineRule="exact"/>
              <w:jc w:val="center"/>
              <w:rPr>
                <w:color w:val="000000"/>
                <w:sz w:val="20"/>
                <w:szCs w:val="20"/>
              </w:rPr>
            </w:pPr>
          </w:p>
        </w:tc>
        <w:tc>
          <w:tcPr>
            <w:tcW w:w="850" w:type="dxa"/>
            <w:vAlign w:val="center"/>
          </w:tcPr>
          <w:p>
            <w:pPr>
              <w:spacing w:line="260" w:lineRule="exact"/>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0" w:type="auto"/>
            <w:vMerge w:val="continue"/>
            <w:vAlign w:val="center"/>
          </w:tcPr>
          <w:p>
            <w:pPr>
              <w:spacing w:line="260" w:lineRule="exact"/>
              <w:jc w:val="center"/>
              <w:rPr>
                <w:sz w:val="20"/>
                <w:szCs w:val="20"/>
              </w:rPr>
            </w:pPr>
          </w:p>
        </w:tc>
        <w:tc>
          <w:tcPr>
            <w:tcW w:w="0" w:type="auto"/>
            <w:vMerge w:val="continue"/>
            <w:vAlign w:val="center"/>
          </w:tcPr>
          <w:p>
            <w:pPr>
              <w:spacing w:line="260" w:lineRule="exact"/>
              <w:rPr>
                <w:sz w:val="20"/>
                <w:szCs w:val="20"/>
              </w:rPr>
            </w:pPr>
          </w:p>
        </w:tc>
        <w:tc>
          <w:tcPr>
            <w:tcW w:w="2951" w:type="dxa"/>
            <w:vAlign w:val="center"/>
          </w:tcPr>
          <w:p>
            <w:pPr>
              <w:spacing w:line="260" w:lineRule="exact"/>
              <w:rPr>
                <w:sz w:val="20"/>
                <w:szCs w:val="20"/>
              </w:rPr>
            </w:pPr>
            <w:r>
              <w:rPr>
                <w:sz w:val="20"/>
                <w:szCs w:val="20"/>
              </w:rPr>
              <w:t>6.2.3 取得高水平教学科研成果，培养的学生获得政府奖励或在地方有影响力（15分）</w:t>
            </w:r>
          </w:p>
        </w:tc>
        <w:tc>
          <w:tcPr>
            <w:tcW w:w="3544" w:type="dxa"/>
            <w:vAlign w:val="center"/>
          </w:tcPr>
          <w:p>
            <w:pPr>
              <w:spacing w:line="260" w:lineRule="exact"/>
              <w:rPr>
                <w:color w:val="000000"/>
                <w:sz w:val="20"/>
                <w:szCs w:val="20"/>
              </w:rPr>
            </w:pPr>
            <w:r>
              <w:rPr>
                <w:color w:val="000000"/>
                <w:sz w:val="20"/>
                <w:szCs w:val="20"/>
              </w:rPr>
              <w:t>（1）教学科研成果获奖情况（10分）</w:t>
            </w:r>
          </w:p>
          <w:p>
            <w:pPr>
              <w:spacing w:line="260" w:lineRule="exact"/>
              <w:rPr>
                <w:color w:val="000000"/>
                <w:sz w:val="20"/>
                <w:szCs w:val="20"/>
              </w:rPr>
            </w:pPr>
            <w:r>
              <w:rPr>
                <w:color w:val="000000"/>
                <w:sz w:val="20"/>
                <w:szCs w:val="20"/>
              </w:rPr>
              <w:t>（2）培养的学生获得政府奖励或在地方影响的情况（5分）</w:t>
            </w:r>
          </w:p>
        </w:tc>
        <w:tc>
          <w:tcPr>
            <w:tcW w:w="2410" w:type="dxa"/>
            <w:vAlign w:val="center"/>
          </w:tcPr>
          <w:p>
            <w:pPr>
              <w:spacing w:line="260" w:lineRule="exact"/>
              <w:rPr>
                <w:color w:val="000000"/>
                <w:sz w:val="20"/>
                <w:szCs w:val="20"/>
              </w:rPr>
            </w:pPr>
            <w:r>
              <w:rPr>
                <w:rFonts w:hint="eastAsia"/>
                <w:color w:val="000000"/>
                <w:sz w:val="20"/>
                <w:szCs w:val="20"/>
              </w:rPr>
              <w:t>1</w:t>
            </w:r>
            <w:r>
              <w:rPr>
                <w:rFonts w:hint="eastAsia"/>
                <w:sz w:val="20"/>
                <w:szCs w:val="20"/>
              </w:rPr>
              <w:t>．</w:t>
            </w:r>
            <w:r>
              <w:rPr>
                <w:color w:val="000000"/>
                <w:sz w:val="20"/>
                <w:szCs w:val="20"/>
              </w:rPr>
              <w:t>须提供证书、报刊、会议、新闻报道等支撑材料。　</w:t>
            </w:r>
          </w:p>
          <w:p>
            <w:pPr>
              <w:spacing w:line="260" w:lineRule="exact"/>
              <w:rPr>
                <w:color w:val="000000"/>
                <w:sz w:val="20"/>
                <w:szCs w:val="20"/>
              </w:rPr>
            </w:pPr>
            <w:r>
              <w:rPr>
                <w:rFonts w:hint="eastAsia"/>
                <w:color w:val="000000"/>
                <w:sz w:val="20"/>
                <w:szCs w:val="20"/>
              </w:rPr>
              <w:t>2</w:t>
            </w:r>
            <w:r>
              <w:rPr>
                <w:rFonts w:hint="eastAsia"/>
                <w:sz w:val="20"/>
                <w:szCs w:val="20"/>
              </w:rPr>
              <w:t>．</w:t>
            </w:r>
            <w:r>
              <w:rPr>
                <w:rFonts w:hint="eastAsia"/>
                <w:color w:val="000000"/>
                <w:sz w:val="20"/>
                <w:szCs w:val="20"/>
              </w:rPr>
              <w:t>教学科研成果以开放教育为主。</w:t>
            </w:r>
          </w:p>
        </w:tc>
        <w:tc>
          <w:tcPr>
            <w:tcW w:w="1134" w:type="dxa"/>
            <w:vMerge w:val="continue"/>
            <w:vAlign w:val="center"/>
          </w:tcPr>
          <w:p>
            <w:pPr>
              <w:spacing w:line="260" w:lineRule="exact"/>
              <w:jc w:val="center"/>
              <w:rPr>
                <w:color w:val="000000"/>
                <w:sz w:val="20"/>
                <w:szCs w:val="20"/>
              </w:rPr>
            </w:pPr>
          </w:p>
        </w:tc>
        <w:tc>
          <w:tcPr>
            <w:tcW w:w="850" w:type="dxa"/>
            <w:vAlign w:val="center"/>
          </w:tcPr>
          <w:p>
            <w:pPr>
              <w:spacing w:line="260" w:lineRule="exact"/>
              <w:jc w:val="center"/>
              <w:rPr>
                <w:rFonts w:hint="default" w:eastAsia="宋体"/>
                <w:color w:val="000000"/>
                <w:sz w:val="20"/>
                <w:szCs w:val="20"/>
                <w:lang w:val="en-US" w:eastAsia="zh-CN"/>
              </w:rPr>
            </w:pPr>
            <w:r>
              <w:rPr>
                <w:rFonts w:hint="eastAsia"/>
                <w:color w:val="000000"/>
                <w:sz w:val="20"/>
                <w:szCs w:val="20"/>
                <w:lang w:val="en-US" w:eastAsia="zh-CN"/>
              </w:rPr>
              <w:t>教研处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cantSplit/>
          <w:trHeight w:val="567" w:hRule="atLeast"/>
          <w:jc w:val="center"/>
        </w:trPr>
        <w:tc>
          <w:tcPr>
            <w:tcW w:w="8784" w:type="dxa"/>
            <w:gridSpan w:val="4"/>
            <w:vAlign w:val="center"/>
          </w:tcPr>
          <w:p>
            <w:pPr>
              <w:spacing w:line="260" w:lineRule="exact"/>
              <w:ind w:firstLine="1600" w:firstLineChars="800"/>
              <w:rPr>
                <w:sz w:val="20"/>
                <w:szCs w:val="20"/>
              </w:rPr>
            </w:pPr>
            <w:r>
              <w:rPr>
                <w:rFonts w:hint="eastAsia"/>
                <w:sz w:val="20"/>
                <w:szCs w:val="20"/>
              </w:rPr>
              <w:t xml:space="preserve">合 </w:t>
            </w:r>
            <w:r>
              <w:rPr>
                <w:sz w:val="20"/>
                <w:szCs w:val="20"/>
              </w:rPr>
              <w:t xml:space="preserve"> </w:t>
            </w:r>
            <w:r>
              <w:rPr>
                <w:rFonts w:hint="eastAsia"/>
                <w:sz w:val="20"/>
                <w:szCs w:val="20"/>
              </w:rPr>
              <w:t xml:space="preserve">计 </w:t>
            </w:r>
            <w:r>
              <w:rPr>
                <w:sz w:val="20"/>
                <w:szCs w:val="20"/>
              </w:rPr>
              <w:t xml:space="preserve">                      </w:t>
            </w:r>
            <w:r>
              <w:rPr>
                <w:rFonts w:hint="eastAsia"/>
                <w:color w:val="000000"/>
                <w:sz w:val="20"/>
                <w:szCs w:val="20"/>
              </w:rPr>
              <w:t>1</w:t>
            </w:r>
            <w:r>
              <w:rPr>
                <w:color w:val="000000"/>
                <w:sz w:val="20"/>
                <w:szCs w:val="20"/>
              </w:rPr>
              <w:t>000</w:t>
            </w:r>
            <w:r>
              <w:rPr>
                <w:rFonts w:hint="eastAsia"/>
                <w:color w:val="000000"/>
                <w:sz w:val="20"/>
                <w:szCs w:val="20"/>
              </w:rPr>
              <w:t>分</w:t>
            </w:r>
          </w:p>
        </w:tc>
        <w:tc>
          <w:tcPr>
            <w:tcW w:w="2410" w:type="dxa"/>
            <w:vAlign w:val="center"/>
          </w:tcPr>
          <w:p>
            <w:pPr>
              <w:spacing w:line="260" w:lineRule="exact"/>
              <w:rPr>
                <w:color w:val="000000"/>
                <w:sz w:val="20"/>
                <w:szCs w:val="20"/>
              </w:rPr>
            </w:pPr>
          </w:p>
        </w:tc>
        <w:tc>
          <w:tcPr>
            <w:tcW w:w="1134" w:type="dxa"/>
            <w:vAlign w:val="center"/>
          </w:tcPr>
          <w:p>
            <w:pPr>
              <w:spacing w:line="260" w:lineRule="exact"/>
              <w:jc w:val="center"/>
              <w:rPr>
                <w:color w:val="000000"/>
                <w:sz w:val="20"/>
                <w:szCs w:val="20"/>
              </w:rPr>
            </w:pPr>
          </w:p>
        </w:tc>
        <w:tc>
          <w:tcPr>
            <w:tcW w:w="850" w:type="dxa"/>
            <w:vAlign w:val="center"/>
          </w:tcPr>
          <w:p>
            <w:pPr>
              <w:spacing w:line="260" w:lineRule="exact"/>
              <w:jc w:val="center"/>
              <w:rPr>
                <w:color w:val="000000"/>
                <w:sz w:val="20"/>
                <w:szCs w:val="20"/>
              </w:rPr>
            </w:pPr>
          </w:p>
        </w:tc>
      </w:tr>
    </w:tbl>
    <w:p>
      <w:pPr>
        <w:spacing w:line="240" w:lineRule="exact"/>
        <w:jc w:val="left"/>
        <w:rPr>
          <w:rFonts w:eastAsia="楷体"/>
          <w:szCs w:val="21"/>
        </w:rPr>
      </w:pPr>
    </w:p>
    <w:p>
      <w:pPr>
        <w:spacing w:line="240" w:lineRule="exact"/>
        <w:jc w:val="left"/>
        <w:rPr>
          <w:rFonts w:eastAsia="楷体"/>
          <w:szCs w:val="21"/>
        </w:rPr>
      </w:pPr>
    </w:p>
    <w:p>
      <w:pPr>
        <w:spacing w:line="240" w:lineRule="exact"/>
        <w:jc w:val="left"/>
        <w:rPr>
          <w:rFonts w:eastAsia="楷体"/>
          <w:szCs w:val="21"/>
        </w:rPr>
      </w:pPr>
    </w:p>
    <w:p>
      <w:pPr>
        <w:spacing w:line="240" w:lineRule="exact"/>
        <w:jc w:val="left"/>
        <w:rPr>
          <w:rFonts w:eastAsia="楷体"/>
          <w:szCs w:val="21"/>
        </w:rPr>
      </w:pPr>
    </w:p>
    <w:p>
      <w:pPr>
        <w:spacing w:line="240" w:lineRule="exact"/>
        <w:jc w:val="left"/>
        <w:rPr>
          <w:rFonts w:eastAsia="楷体"/>
          <w:kern w:val="0"/>
          <w:szCs w:val="21"/>
        </w:rPr>
      </w:pPr>
      <w:r>
        <w:rPr>
          <w:rFonts w:eastAsia="楷体"/>
          <w:szCs w:val="21"/>
        </w:rPr>
        <w:t>说明：</w:t>
      </w:r>
      <w:r>
        <w:rPr>
          <w:rFonts w:eastAsia="楷体"/>
          <w:kern w:val="0"/>
          <w:szCs w:val="21"/>
        </w:rPr>
        <w:t>1．具体观测点赋分时，凡内容表述意为</w:t>
      </w:r>
      <w:r>
        <w:rPr>
          <w:rFonts w:ascii="楷体" w:hAnsi="楷体" w:eastAsia="楷体"/>
          <w:kern w:val="0"/>
          <w:szCs w:val="21"/>
        </w:rPr>
        <w:t>“</w:t>
      </w:r>
      <w:r>
        <w:rPr>
          <w:rFonts w:eastAsia="楷体"/>
          <w:kern w:val="0"/>
          <w:szCs w:val="21"/>
        </w:rPr>
        <w:t>情况</w:t>
      </w:r>
      <w:r>
        <w:rPr>
          <w:rFonts w:ascii="楷体" w:hAnsi="楷体" w:eastAsia="楷体"/>
          <w:kern w:val="0"/>
          <w:szCs w:val="21"/>
        </w:rPr>
        <w:t>”“</w:t>
      </w:r>
      <w:r>
        <w:rPr>
          <w:rFonts w:eastAsia="楷体"/>
          <w:kern w:val="0"/>
          <w:szCs w:val="21"/>
        </w:rPr>
        <w:t>程度</w:t>
      </w:r>
      <w:r>
        <w:rPr>
          <w:rFonts w:ascii="楷体" w:hAnsi="楷体" w:eastAsia="楷体"/>
          <w:kern w:val="0"/>
          <w:szCs w:val="21"/>
        </w:rPr>
        <w:t>”</w:t>
      </w:r>
      <w:r>
        <w:rPr>
          <w:rFonts w:eastAsia="楷体"/>
          <w:kern w:val="0"/>
          <w:szCs w:val="21"/>
        </w:rPr>
        <w:t>的，评估时视实际程度赋分；凡内容表述意为</w:t>
      </w:r>
      <w:r>
        <w:rPr>
          <w:rFonts w:ascii="楷体" w:hAnsi="楷体" w:eastAsia="楷体"/>
          <w:kern w:val="0"/>
          <w:szCs w:val="21"/>
        </w:rPr>
        <w:t>“</w:t>
      </w:r>
      <w:r>
        <w:rPr>
          <w:rFonts w:eastAsia="楷体"/>
          <w:kern w:val="0"/>
          <w:szCs w:val="21"/>
        </w:rPr>
        <w:t>有无</w:t>
      </w:r>
      <w:r>
        <w:rPr>
          <w:rFonts w:ascii="楷体" w:hAnsi="楷体" w:eastAsia="楷体"/>
          <w:kern w:val="0"/>
          <w:szCs w:val="21"/>
        </w:rPr>
        <w:t>”</w:t>
      </w:r>
      <w:r>
        <w:rPr>
          <w:rFonts w:eastAsia="楷体"/>
          <w:kern w:val="0"/>
          <w:szCs w:val="21"/>
        </w:rPr>
        <w:t>的，评估时视实际情况打满分或零分。</w:t>
      </w:r>
    </w:p>
    <w:p>
      <w:pPr>
        <w:spacing w:line="240" w:lineRule="exact"/>
        <w:ind w:firstLine="630" w:firstLineChars="300"/>
        <w:rPr>
          <w:rFonts w:eastAsia="楷体"/>
          <w:kern w:val="0"/>
          <w:szCs w:val="21"/>
        </w:rPr>
      </w:pPr>
      <w:r>
        <w:rPr>
          <w:rFonts w:eastAsia="楷体"/>
          <w:kern w:val="0"/>
          <w:szCs w:val="21"/>
        </w:rPr>
        <w:t>2</w:t>
      </w:r>
      <w:r>
        <w:rPr>
          <w:rFonts w:eastAsia="楷体"/>
          <w:szCs w:val="21"/>
        </w:rPr>
        <w:t>．每项得分必须是整数</w:t>
      </w:r>
      <w:r>
        <w:rPr>
          <w:rFonts w:eastAsia="楷体"/>
          <w:kern w:val="0"/>
          <w:szCs w:val="21"/>
        </w:rPr>
        <w:t>。</w:t>
      </w:r>
    </w:p>
    <w:p>
      <w:pPr>
        <w:spacing w:line="240" w:lineRule="exact"/>
        <w:ind w:firstLine="630" w:firstLineChars="300"/>
        <w:rPr>
          <w:rFonts w:eastAsia="楷体"/>
          <w:kern w:val="0"/>
          <w:szCs w:val="21"/>
        </w:rPr>
      </w:pPr>
      <w:r>
        <w:rPr>
          <w:rFonts w:eastAsia="楷体"/>
          <w:kern w:val="0"/>
          <w:szCs w:val="21"/>
        </w:rPr>
        <w:t>3</w:t>
      </w:r>
      <w:r>
        <w:rPr>
          <w:rFonts w:eastAsia="楷体"/>
          <w:szCs w:val="21"/>
        </w:rPr>
        <w:t>．评估结论等次划分：分值</w:t>
      </w:r>
      <w:r>
        <w:rPr>
          <w:rFonts w:ascii="楷体" w:hAnsi="楷体" w:eastAsia="楷体"/>
          <w:szCs w:val="21"/>
        </w:rPr>
        <w:t>≥</w:t>
      </w:r>
      <w:r>
        <w:rPr>
          <w:rFonts w:eastAsia="楷体"/>
          <w:szCs w:val="21"/>
        </w:rPr>
        <w:t>900为优秀，900＞分值</w:t>
      </w:r>
      <w:r>
        <w:rPr>
          <w:rFonts w:ascii="楷体" w:hAnsi="楷体" w:eastAsia="楷体"/>
          <w:szCs w:val="21"/>
        </w:rPr>
        <w:t>≥</w:t>
      </w:r>
      <w:r>
        <w:rPr>
          <w:rFonts w:eastAsia="楷体"/>
          <w:szCs w:val="21"/>
        </w:rPr>
        <w:t>750为良好，750＞分值</w:t>
      </w:r>
      <w:r>
        <w:rPr>
          <w:rFonts w:ascii="楷体" w:hAnsi="楷体" w:eastAsia="楷体"/>
          <w:szCs w:val="21"/>
        </w:rPr>
        <w:t>≥</w:t>
      </w:r>
      <w:r>
        <w:rPr>
          <w:rFonts w:eastAsia="楷体"/>
          <w:szCs w:val="21"/>
        </w:rPr>
        <w:t>600为合格，分值＜600为限期整改；合格及以上须得分低于标定分值60%的二级指标少于7个，第1个一级指标得分不足60%一票否决。</w:t>
      </w:r>
    </w:p>
    <w:p>
      <w:pPr>
        <w:pStyle w:val="20"/>
        <w:widowControl w:val="0"/>
        <w:overflowPunct w:val="0"/>
        <w:spacing w:before="0" w:after="0"/>
        <w:ind w:firstLine="630" w:firstLineChars="300"/>
        <w:jc w:val="both"/>
        <w:rPr>
          <w:rFonts w:ascii="Times New Roman" w:hAnsi="Times New Roman" w:eastAsia="楷体"/>
          <w:sz w:val="21"/>
          <w:szCs w:val="21"/>
        </w:rPr>
      </w:pPr>
      <w:r>
        <w:rPr>
          <w:rFonts w:ascii="Times New Roman" w:hAnsi="Times New Roman" w:eastAsia="楷体"/>
          <w:sz w:val="21"/>
          <w:szCs w:val="21"/>
        </w:rPr>
        <w:t>4．生师比计算公式：</w:t>
      </w:r>
      <w:r>
        <w:rPr>
          <w:rFonts w:ascii="Times New Roman" w:hAnsi="Times New Roman" w:eastAsia="楷体"/>
          <w:sz w:val="21"/>
          <w:szCs w:val="21"/>
        </w:rPr>
        <w:fldChar w:fldCharType="begin"/>
      </w:r>
      <w:r>
        <w:rPr>
          <w:rFonts w:ascii="Times New Roman" w:hAnsi="Times New Roman" w:eastAsia="楷体"/>
          <w:sz w:val="21"/>
          <w:szCs w:val="21"/>
        </w:rPr>
        <w:instrText xml:space="preserve"> QUOTE </w:instrText>
      </w:r>
      <w:r>
        <w:rPr>
          <w:position w:val="-23"/>
        </w:rPr>
        <w:pict>
          <v:shape id="_x0000_i1025" o:spt="75" type="#_x0000_t75" style="height:35.25pt;width:201.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40&quot;/&gt;&lt;w:doNotEmbedSystemFonts/&gt;&lt;w:bordersDontSurroundHeader/&gt;&lt;w:bordersDontSurroundFooter/&gt;&lt;w:stylePaneFormatFilter w:val=&quot;3F01&quot;/&gt;&lt;w:defaultTabStop w:val=&quot;0&quot;/&gt;&lt;w:evenAndOddHeaders/&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64F0&quot;/&gt;&lt;wsp:rsid wsp:val=&quot;000025AE&quot;/&gt;&lt;wsp:rsid wsp:val=&quot;00003764&quot;/&gt;&lt;wsp:rsid wsp:val=&quot;000079BC&quot;/&gt;&lt;wsp:rsid wsp:val=&quot;00011ABD&quot;/&gt;&lt;wsp:rsid wsp:val=&quot;000134A7&quot;/&gt;&lt;wsp:rsid wsp:val=&quot;00013C37&quot;/&gt;&lt;wsp:rsid wsp:val=&quot;00014FB2&quot;/&gt;&lt;wsp:rsid wsp:val=&quot;00016090&quot;/&gt;&lt;wsp:rsid wsp:val=&quot;00020B7A&quot;/&gt;&lt;wsp:rsid wsp:val=&quot;00020DD7&quot;/&gt;&lt;wsp:rsid wsp:val=&quot;000225F0&quot;/&gt;&lt;wsp:rsid wsp:val=&quot;00023234&quot;/&gt;&lt;wsp:rsid wsp:val=&quot;00025A72&quot;/&gt;&lt;wsp:rsid wsp:val=&quot;00025E29&quot;/&gt;&lt;wsp:rsid wsp:val=&quot;000270A1&quot;/&gt;&lt;wsp:rsid wsp:val=&quot;0002780E&quot;/&gt;&lt;wsp:rsid wsp:val=&quot;000279D9&quot;/&gt;&lt;wsp:rsid wsp:val=&quot;0003082C&quot;/&gt;&lt;wsp:rsid wsp:val=&quot;00034316&quot;/&gt;&lt;wsp:rsid wsp:val=&quot;000369DA&quot;/&gt;&lt;wsp:rsid wsp:val=&quot;00040B21&quot;/&gt;&lt;wsp:rsid wsp:val=&quot;000410EC&quot;/&gt;&lt;wsp:rsid wsp:val=&quot;00042102&quot;/&gt;&lt;wsp:rsid wsp:val=&quot;00044B38&quot;/&gt;&lt;wsp:rsid wsp:val=&quot;00046822&quot;/&gt;&lt;wsp:rsid wsp:val=&quot;000501C9&quot;/&gt;&lt;wsp:rsid wsp:val=&quot;000531FA&quot;/&gt;&lt;wsp:rsid wsp:val=&quot;000533E0&quot;/&gt;&lt;wsp:rsid wsp:val=&quot;00061494&quot;/&gt;&lt;wsp:rsid wsp:val=&quot;0006213A&quot;/&gt;&lt;wsp:rsid wsp:val=&quot;000709C4&quot;/&gt;&lt;wsp:rsid wsp:val=&quot;00074CB1&quot;/&gt;&lt;wsp:rsid wsp:val=&quot;000756BD&quot;/&gt;&lt;wsp:rsid wsp:val=&quot;00075EE9&quot;/&gt;&lt;wsp:rsid wsp:val=&quot;00077C1F&quot;/&gt;&lt;wsp:rsid wsp:val=&quot;00082BC2&quot;/&gt;&lt;wsp:rsid wsp:val=&quot;00084E56&quot;/&gt;&lt;wsp:rsid wsp:val=&quot;0008691C&quot;/&gt;&lt;wsp:rsid wsp:val=&quot;00086D9E&quot;/&gt;&lt;wsp:rsid wsp:val=&quot;00090AFD&quot;/&gt;&lt;wsp:rsid wsp:val=&quot;00093B95&quot;/&gt;&lt;wsp:rsid wsp:val=&quot;00094514&quot;/&gt;&lt;wsp:rsid wsp:val=&quot;00094676&quot;/&gt;&lt;wsp:rsid wsp:val=&quot;00094C15&quot;/&gt;&lt;wsp:rsid wsp:val=&quot;00095574&quot;/&gt;&lt;wsp:rsid wsp:val=&quot;000A240E&quot;/&gt;&lt;wsp:rsid wsp:val=&quot;000A5799&quot;/&gt;&lt;wsp:rsid wsp:val=&quot;000A640C&quot;/&gt;&lt;wsp:rsid wsp:val=&quot;000A700A&quot;/&gt;&lt;wsp:rsid wsp:val=&quot;000B4A84&quot;/&gt;&lt;wsp:rsid wsp:val=&quot;000B5608&quot;/&gt;&lt;wsp:rsid wsp:val=&quot;000B69AF&quot;/&gt;&lt;wsp:rsid wsp:val=&quot;000B6B25&quot;/&gt;&lt;wsp:rsid wsp:val=&quot;000B7338&quot;/&gt;&lt;wsp:rsid wsp:val=&quot;000B7785&quot;/&gt;&lt;wsp:rsid wsp:val=&quot;000C1A45&quot;/&gt;&lt;wsp:rsid wsp:val=&quot;000C33EE&quot;/&gt;&lt;wsp:rsid wsp:val=&quot;000C3C87&quot;/&gt;&lt;wsp:rsid wsp:val=&quot;000C4C52&quot;/&gt;&lt;wsp:rsid wsp:val=&quot;000C559D&quot;/&gt;&lt;wsp:rsid wsp:val=&quot;000C5E52&quot;/&gt;&lt;wsp:rsid wsp:val=&quot;000C60F9&quot;/&gt;&lt;wsp:rsid wsp:val=&quot;000D0F3C&quot;/&gt;&lt;wsp:rsid wsp:val=&quot;000D3B6F&quot;/&gt;&lt;wsp:rsid wsp:val=&quot;000D6017&quot;/&gt;&lt;wsp:rsid wsp:val=&quot;000D65E2&quot;/&gt;&lt;wsp:rsid wsp:val=&quot;000D66C7&quot;/&gt;&lt;wsp:rsid wsp:val=&quot;000E0A0E&quot;/&gt;&lt;wsp:rsid wsp:val=&quot;000E16F3&quot;/&gt;&lt;wsp:rsid wsp:val=&quot;000E2A0D&quot;/&gt;&lt;wsp:rsid wsp:val=&quot;000E35F5&quot;/&gt;&lt;wsp:rsid wsp:val=&quot;000E3BF6&quot;/&gt;&lt;wsp:rsid wsp:val=&quot;000E4F6B&quot;/&gt;&lt;wsp:rsid wsp:val=&quot;000E68C4&quot;/&gt;&lt;wsp:rsid wsp:val=&quot;000E6C41&quot;/&gt;&lt;wsp:rsid wsp:val=&quot;000E7311&quot;/&gt;&lt;wsp:rsid wsp:val=&quot;000F019E&quot;/&gt;&lt;wsp:rsid wsp:val=&quot;000F29CB&quot;/&gt;&lt;wsp:rsid wsp:val=&quot;000F3FAE&quot;/&gt;&lt;wsp:rsid wsp:val=&quot;000F6515&quot;/&gt;&lt;wsp:rsid wsp:val=&quot;001003B9&quot;/&gt;&lt;wsp:rsid wsp:val=&quot;001009B0&quot;/&gt;&lt;wsp:rsid wsp:val=&quot;00101608&quot;/&gt;&lt;wsp:rsid wsp:val=&quot;00102E3E&quot;/&gt;&lt;wsp:rsid wsp:val=&quot;001033DC&quot;/&gt;&lt;wsp:rsid wsp:val=&quot;00104282&quot;/&gt;&lt;wsp:rsid wsp:val=&quot;00105109&quot;/&gt;&lt;wsp:rsid wsp:val=&quot;00105557&quot;/&gt;&lt;wsp:rsid wsp:val=&quot;00110CEC&quot;/&gt;&lt;wsp:rsid wsp:val=&quot;001120B8&quot;/&gt;&lt;wsp:rsid wsp:val=&quot;0011250B&quot;/&gt;&lt;wsp:rsid wsp:val=&quot;00112762&quot;/&gt;&lt;wsp:rsid wsp:val=&quot;00115277&quot;/&gt;&lt;wsp:rsid wsp:val=&quot;001153D9&quot;/&gt;&lt;wsp:rsid wsp:val=&quot;00115E9A&quot;/&gt;&lt;wsp:rsid wsp:val=&quot;00116965&quot;/&gt;&lt;wsp:rsid wsp:val=&quot;001173C1&quot;/&gt;&lt;wsp:rsid wsp:val=&quot;00117A4B&quot;/&gt;&lt;wsp:rsid wsp:val=&quot;001207A1&quot;/&gt;&lt;wsp:rsid wsp:val=&quot;00120B1F&quot;/&gt;&lt;wsp:rsid wsp:val=&quot;0012164C&quot;/&gt;&lt;wsp:rsid wsp:val=&quot;00124BD2&quot;/&gt;&lt;wsp:rsid wsp:val=&quot;00126DE1&quot;/&gt;&lt;wsp:rsid wsp:val=&quot;00130895&quot;/&gt;&lt;wsp:rsid wsp:val=&quot;00130CAC&quot;/&gt;&lt;wsp:rsid wsp:val=&quot;0013219E&quot;/&gt;&lt;wsp:rsid wsp:val=&quot;00133236&quot;/&gt;&lt;wsp:rsid wsp:val=&quot;00133C04&quot;/&gt;&lt;wsp:rsid wsp:val=&quot;00134828&quot;/&gt;&lt;wsp:rsid wsp:val=&quot;001357BF&quot;/&gt;&lt;wsp:rsid wsp:val=&quot;001370AC&quot;/&gt;&lt;wsp:rsid wsp:val=&quot;0013754A&quot;/&gt;&lt;wsp:rsid wsp:val=&quot;00137A9E&quot;/&gt;&lt;wsp:rsid wsp:val=&quot;00137D16&quot;/&gt;&lt;wsp:rsid wsp:val=&quot;00141F69&quot;/&gt;&lt;wsp:rsid wsp:val=&quot;0014321E&quot;/&gt;&lt;wsp:rsid wsp:val=&quot;00143D11&quot;/&gt;&lt;wsp:rsid wsp:val=&quot;00144CB0&quot;/&gt;&lt;wsp:rsid wsp:val=&quot;00145036&quot;/&gt;&lt;wsp:rsid wsp:val=&quot;001450F2&quot;/&gt;&lt;wsp:rsid wsp:val=&quot;00145A7F&quot;/&gt;&lt;wsp:rsid wsp:val=&quot;00145B14&quot;/&gt;&lt;wsp:rsid wsp:val=&quot;00145BA7&quot;/&gt;&lt;wsp:rsid wsp:val=&quot;001475B9&quot;/&gt;&lt;wsp:rsid wsp:val=&quot;00152A5C&quot;/&gt;&lt;wsp:rsid wsp:val=&quot;001531C6&quot;/&gt;&lt;wsp:rsid wsp:val=&quot;0015349C&quot;/&gt;&lt;wsp:rsid wsp:val=&quot;001565C9&quot;/&gt;&lt;wsp:rsid wsp:val=&quot;001576F7&quot;/&gt;&lt;wsp:rsid wsp:val=&quot;0016208A&quot;/&gt;&lt;wsp:rsid wsp:val=&quot;001620C8&quot;/&gt;&lt;wsp:rsid wsp:val=&quot;00162AE7&quot;/&gt;&lt;wsp:rsid wsp:val=&quot;00165826&quot;/&gt;&lt;wsp:rsid wsp:val=&quot;00167282&quot;/&gt;&lt;wsp:rsid wsp:val=&quot;0016778C&quot;/&gt;&lt;wsp:rsid wsp:val=&quot;00171A7E&quot;/&gt;&lt;wsp:rsid wsp:val=&quot;00171C82&quot;/&gt;&lt;wsp:rsid wsp:val=&quot;00172561&quot;/&gt;&lt;wsp:rsid wsp:val=&quot;00173D49&quot;/&gt;&lt;wsp:rsid wsp:val=&quot;00181336&quot;/&gt;&lt;wsp:rsid wsp:val=&quot;00181F9D&quot;/&gt;&lt;wsp:rsid wsp:val=&quot;001831C4&quot;/&gt;&lt;wsp:rsid wsp:val=&quot;00185599&quot;/&gt;&lt;wsp:rsid wsp:val=&quot;001857BF&quot;/&gt;&lt;wsp:rsid wsp:val=&quot;001865D5&quot;/&gt;&lt;wsp:rsid wsp:val=&quot;00187DBE&quot;/&gt;&lt;wsp:rsid wsp:val=&quot;001918A3&quot;/&gt;&lt;wsp:rsid wsp:val=&quot;001953AB&quot;/&gt;&lt;wsp:rsid wsp:val=&quot;00195430&quot;/&gt;&lt;wsp:rsid wsp:val=&quot;00196626&quot;/&gt;&lt;wsp:rsid wsp:val=&quot;001A2916&quot;/&gt;&lt;wsp:rsid wsp:val=&quot;001A5208&quot;/&gt;&lt;wsp:rsid wsp:val=&quot;001A56E1&quot;/&gt;&lt;wsp:rsid wsp:val=&quot;001A7111&quot;/&gt;&lt;wsp:rsid wsp:val=&quot;001B0735&quot;/&gt;&lt;wsp:rsid wsp:val=&quot;001B40FC&quot;/&gt;&lt;wsp:rsid wsp:val=&quot;001B46B1&quot;/&gt;&lt;wsp:rsid wsp:val=&quot;001B664D&quot;/&gt;&lt;wsp:rsid wsp:val=&quot;001B7D7B&quot;/&gt;&lt;wsp:rsid wsp:val=&quot;001C0F12&quot;/&gt;&lt;wsp:rsid wsp:val=&quot;001C188F&quot;/&gt;&lt;wsp:rsid wsp:val=&quot;001C3971&quot;/&gt;&lt;wsp:rsid wsp:val=&quot;001C541E&quot;/&gt;&lt;wsp:rsid wsp:val=&quot;001C6C4E&quot;/&gt;&lt;wsp:rsid wsp:val=&quot;001C6D47&quot;/&gt;&lt;wsp:rsid wsp:val=&quot;001C7847&quot;/&gt;&lt;wsp:rsid wsp:val=&quot;001C7F84&quot;/&gt;&lt;wsp:rsid wsp:val=&quot;001D5E9A&quot;/&gt;&lt;wsp:rsid wsp:val=&quot;001D74D5&quot;/&gt;&lt;wsp:rsid wsp:val=&quot;001D7FE2&quot;/&gt;&lt;wsp:rsid wsp:val=&quot;001E09E0&quot;/&gt;&lt;wsp:rsid wsp:val=&quot;001E1DEE&quot;/&gt;&lt;wsp:rsid wsp:val=&quot;001E1E03&quot;/&gt;&lt;wsp:rsid wsp:val=&quot;001E2CAB&quot;/&gt;&lt;wsp:rsid wsp:val=&quot;001E37E2&quot;/&gt;&lt;wsp:rsid wsp:val=&quot;001E3EF5&quot;/&gt;&lt;wsp:rsid wsp:val=&quot;001E44B3&quot;/&gt;&lt;wsp:rsid wsp:val=&quot;001E6013&quot;/&gt;&lt;wsp:rsid wsp:val=&quot;001E65F9&quot;/&gt;&lt;wsp:rsid wsp:val=&quot;001E67A6&quot;/&gt;&lt;wsp:rsid wsp:val=&quot;001E6852&quot;/&gt;&lt;wsp:rsid wsp:val=&quot;001E6AEC&quot;/&gt;&lt;wsp:rsid wsp:val=&quot;001E6EFE&quot;/&gt;&lt;wsp:rsid wsp:val=&quot;001E74FE&quot;/&gt;&lt;wsp:rsid wsp:val=&quot;001F1614&quot;/&gt;&lt;wsp:rsid wsp:val=&quot;001F3232&quot;/&gt;&lt;wsp:rsid wsp:val=&quot;001F3A2C&quot;/&gt;&lt;wsp:rsid wsp:val=&quot;001F53C2&quot;/&gt;&lt;wsp:rsid wsp:val=&quot;001F7C6E&quot;/&gt;&lt;wsp:rsid wsp:val=&quot;001F7ED3&quot;/&gt;&lt;wsp:rsid wsp:val=&quot;00203A11&quot;/&gt;&lt;wsp:rsid wsp:val=&quot;00203B8C&quot;/&gt;&lt;wsp:rsid wsp:val=&quot;00203CF4&quot;/&gt;&lt;wsp:rsid wsp:val=&quot;002049EB&quot;/&gt;&lt;wsp:rsid wsp:val=&quot;00206371&quot;/&gt;&lt;wsp:rsid wsp:val=&quot;00212D62&quot;/&gt;&lt;wsp:rsid wsp:val=&quot;00213622&quot;/&gt;&lt;wsp:rsid wsp:val=&quot;002155CA&quot;/&gt;&lt;wsp:rsid wsp:val=&quot;00215D20&quot;/&gt;&lt;wsp:rsid wsp:val=&quot;00220083&quot;/&gt;&lt;wsp:rsid wsp:val=&quot;00220CC0&quot;/&gt;&lt;wsp:rsid wsp:val=&quot;0022252B&quot;/&gt;&lt;wsp:rsid wsp:val=&quot;00224200&quot;/&gt;&lt;wsp:rsid wsp:val=&quot;002274FB&quot;/&gt;&lt;wsp:rsid wsp:val=&quot;002304B5&quot;/&gt;&lt;wsp:rsid wsp:val=&quot;00230FB2&quot;/&gt;&lt;wsp:rsid wsp:val=&quot;002321D4&quot;/&gt;&lt;wsp:rsid wsp:val=&quot;00232EDC&quot;/&gt;&lt;wsp:rsid wsp:val=&quot;002344A5&quot;/&gt;&lt;wsp:rsid wsp:val=&quot;00237353&quot;/&gt;&lt;wsp:rsid wsp:val=&quot;0023765F&quot;/&gt;&lt;wsp:rsid wsp:val=&quot;00240CBA&quot;/&gt;&lt;wsp:rsid wsp:val=&quot;0024129D&quot;/&gt;&lt;wsp:rsid wsp:val=&quot;0024141E&quot;/&gt;&lt;wsp:rsid wsp:val=&quot;0024254A&quot;/&gt;&lt;wsp:rsid wsp:val=&quot;00247AB4&quot;/&gt;&lt;wsp:rsid wsp:val=&quot;002515C9&quot;/&gt;&lt;wsp:rsid wsp:val=&quot;002538D2&quot;/&gt;&lt;wsp:rsid wsp:val=&quot;00256EEF&quot;/&gt;&lt;wsp:rsid wsp:val=&quot;00257D04&quot;/&gt;&lt;wsp:rsid wsp:val=&quot;00260373&quot;/&gt;&lt;wsp:rsid wsp:val=&quot;00262184&quot;/&gt;&lt;wsp:rsid wsp:val=&quot;0026221C&quot;/&gt;&lt;wsp:rsid wsp:val=&quot;00263332&quot;/&gt;&lt;wsp:rsid wsp:val=&quot;0026396F&quot;/&gt;&lt;wsp:rsid wsp:val=&quot;00264230&quot;/&gt;&lt;wsp:rsid wsp:val=&quot;002648C6&quot;/&gt;&lt;wsp:rsid wsp:val=&quot;00264B63&quot;/&gt;&lt;wsp:rsid wsp:val=&quot;00267714&quot;/&gt;&lt;wsp:rsid wsp:val=&quot;00273E12&quot;/&gt;&lt;wsp:rsid wsp:val=&quot;0027456E&quot;/&gt;&lt;wsp:rsid wsp:val=&quot;00274811&quot;/&gt;&lt;wsp:rsid wsp:val=&quot;0027638E&quot;/&gt;&lt;wsp:rsid wsp:val=&quot;00280DBE&quot;/&gt;&lt;wsp:rsid wsp:val=&quot;002823CD&quot;/&gt;&lt;wsp:rsid wsp:val=&quot;002862A7&quot;/&gt;&lt;wsp:rsid wsp:val=&quot;00287CAD&quot;/&gt;&lt;wsp:rsid wsp:val=&quot;00290283&quot;/&gt;&lt;wsp:rsid wsp:val=&quot;00290784&quot;/&gt;&lt;wsp:rsid wsp:val=&quot;00290BDF&quot;/&gt;&lt;wsp:rsid wsp:val=&quot;002922CD&quot;/&gt;&lt;wsp:rsid wsp:val=&quot;00294946&quot;/&gt;&lt;wsp:rsid wsp:val=&quot;00294E3A&quot;/&gt;&lt;wsp:rsid wsp:val=&quot;00297DA5&quot;/&gt;&lt;wsp:rsid wsp:val=&quot;002A0BB8&quot;/&gt;&lt;wsp:rsid wsp:val=&quot;002A559E&quot;/&gt;&lt;wsp:rsid wsp:val=&quot;002A5BF9&quot;/&gt;&lt;wsp:rsid wsp:val=&quot;002A74AD&quot;/&gt;&lt;wsp:rsid wsp:val=&quot;002B2B6D&quot;/&gt;&lt;wsp:rsid wsp:val=&quot;002B5409&quot;/&gt;&lt;wsp:rsid wsp:val=&quot;002C2329&quot;/&gt;&lt;wsp:rsid wsp:val=&quot;002C2492&quot;/&gt;&lt;wsp:rsid wsp:val=&quot;002C50AC&quot;/&gt;&lt;wsp:rsid wsp:val=&quot;002C7F04&quot;/&gt;&lt;wsp:rsid wsp:val=&quot;002D1006&quot;/&gt;&lt;wsp:rsid wsp:val=&quot;002D1147&quot;/&gt;&lt;wsp:rsid wsp:val=&quot;002D14DC&quot;/&gt;&lt;wsp:rsid wsp:val=&quot;002D17AF&quot;/&gt;&lt;wsp:rsid wsp:val=&quot;002D1A02&quot;/&gt;&lt;wsp:rsid wsp:val=&quot;002D1F0B&quot;/&gt;&lt;wsp:rsid wsp:val=&quot;002D27DE&quot;/&gt;&lt;wsp:rsid wsp:val=&quot;002D390D&quot;/&gt;&lt;wsp:rsid wsp:val=&quot;002D4D1D&quot;/&gt;&lt;wsp:rsid wsp:val=&quot;002D794C&quot;/&gt;&lt;wsp:rsid wsp:val=&quot;002D7BBC&quot;/&gt;&lt;wsp:rsid wsp:val=&quot;002D7FEE&quot;/&gt;&lt;wsp:rsid wsp:val=&quot;002E07F1&quot;/&gt;&lt;wsp:rsid wsp:val=&quot;002E20B4&quot;/&gt;&lt;wsp:rsid wsp:val=&quot;002E2907&quot;/&gt;&lt;wsp:rsid wsp:val=&quot;002E3AFD&quot;/&gt;&lt;wsp:rsid wsp:val=&quot;002E7FA9&quot;/&gt;&lt;wsp:rsid wsp:val=&quot;002F1DEF&quot;/&gt;&lt;wsp:rsid wsp:val=&quot;002F2A9B&quot;/&gt;&lt;wsp:rsid wsp:val=&quot;002F2EE7&quot;/&gt;&lt;wsp:rsid wsp:val=&quot;002F5EE4&quot;/&gt;&lt;wsp:rsid wsp:val=&quot;002F6515&quot;/&gt;&lt;wsp:rsid wsp:val=&quot;002F6BCB&quot;/&gt;&lt;wsp:rsid wsp:val=&quot;002F7CF9&quot;/&gt;&lt;wsp:rsid wsp:val=&quot;003001E0&quot;/&gt;&lt;wsp:rsid wsp:val=&quot;00301A1D&quot;/&gt;&lt;wsp:rsid wsp:val=&quot;00302E24&quot;/&gt;&lt;wsp:rsid wsp:val=&quot;0030315F&quot;/&gt;&lt;wsp:rsid wsp:val=&quot;00303340&quot;/&gt;&lt;wsp:rsid wsp:val=&quot;00303D5E&quot;/&gt;&lt;wsp:rsid wsp:val=&quot;00305293&quot;/&gt;&lt;wsp:rsid wsp:val=&quot;00306791&quot;/&gt;&lt;wsp:rsid wsp:val=&quot;003074BF&quot;/&gt;&lt;wsp:rsid wsp:val=&quot;00307B21&quot;/&gt;&lt;wsp:rsid wsp:val=&quot;003110FD&quot;/&gt;&lt;wsp:rsid wsp:val=&quot;003128C4&quot;/&gt;&lt;wsp:rsid wsp:val=&quot;00314BE2&quot;/&gt;&lt;wsp:rsid wsp:val=&quot;003153CB&quot;/&gt;&lt;wsp:rsid wsp:val=&quot;00321B71&quot;/&gt;&lt;wsp:rsid wsp:val=&quot;0032324A&quot;/&gt;&lt;wsp:rsid wsp:val=&quot;00323C4C&quot;/&gt;&lt;wsp:rsid wsp:val=&quot;0032446F&quot;/&gt;&lt;wsp:rsid wsp:val=&quot;003261BA&quot;/&gt;&lt;wsp:rsid wsp:val=&quot;003263BB&quot;/&gt;&lt;wsp:rsid wsp:val=&quot;003304E2&quot;/&gt;&lt;wsp:rsid wsp:val=&quot;003333F4&quot;/&gt;&lt;wsp:rsid wsp:val=&quot;00335D07&quot;/&gt;&lt;wsp:rsid wsp:val=&quot;00335E0F&quot;/&gt;&lt;wsp:rsid wsp:val=&quot;00336E0D&quot;/&gt;&lt;wsp:rsid wsp:val=&quot;003379CF&quot;/&gt;&lt;wsp:rsid wsp:val=&quot;00337F84&quot;/&gt;&lt;wsp:rsid wsp:val=&quot;003412ED&quot;/&gt;&lt;wsp:rsid wsp:val=&quot;003416FC&quot;/&gt;&lt;wsp:rsid wsp:val=&quot;00341B2F&quot;/&gt;&lt;wsp:rsid wsp:val=&quot;003469D5&quot;/&gt;&lt;wsp:rsid wsp:val=&quot;00347152&quot;/&gt;&lt;wsp:rsid wsp:val=&quot;00347DEA&quot;/&gt;&lt;wsp:rsid wsp:val=&quot;00350F98&quot;/&gt;&lt;wsp:rsid wsp:val=&quot;00353D2F&quot;/&gt;&lt;wsp:rsid wsp:val=&quot;00353F9A&quot;/&gt;&lt;wsp:rsid wsp:val=&quot;00354EED&quot;/&gt;&lt;wsp:rsid wsp:val=&quot;00356831&quot;/&gt;&lt;wsp:rsid wsp:val=&quot;00357CAE&quot;/&gt;&lt;wsp:rsid wsp:val=&quot;003607EA&quot;/&gt;&lt;wsp:rsid wsp:val=&quot;0036119D&quot;/&gt;&lt;wsp:rsid wsp:val=&quot;00361872&quot;/&gt;&lt;wsp:rsid wsp:val=&quot;00363255&quot;/&gt;&lt;wsp:rsid wsp:val=&quot;0036452D&quot;/&gt;&lt;wsp:rsid wsp:val=&quot;00364A77&quot;/&gt;&lt;wsp:rsid wsp:val=&quot;00365AE8&quot;/&gt;&lt;wsp:rsid wsp:val=&quot;00365CEF&quot;/&gt;&lt;wsp:rsid wsp:val=&quot;00365E70&quot;/&gt;&lt;wsp:rsid wsp:val=&quot;003673D9&quot;/&gt;&lt;wsp:rsid wsp:val=&quot;00367929&quot;/&gt;&lt;wsp:rsid wsp:val=&quot;00367F28&quot;/&gt;&lt;wsp:rsid wsp:val=&quot;00367FC4&quot;/&gt;&lt;wsp:rsid wsp:val=&quot;00372575&quot;/&gt;&lt;wsp:rsid wsp:val=&quot;0037308D&quot;/&gt;&lt;wsp:rsid wsp:val=&quot;00373198&quot;/&gt;&lt;wsp:rsid wsp:val=&quot;0037334B&quot;/&gt;&lt;wsp:rsid wsp:val=&quot;00373420&quot;/&gt;&lt;wsp:rsid wsp:val=&quot;00385EFD&quot;/&gt;&lt;wsp:rsid wsp:val=&quot;00386130&quot;/&gt;&lt;wsp:rsid wsp:val=&quot;0038696A&quot;/&gt;&lt;wsp:rsid wsp:val=&quot;003871FD&quot;/&gt;&lt;wsp:rsid wsp:val=&quot;00387F69&quot;/&gt;&lt;wsp:rsid wsp:val=&quot;00390B71&quot;/&gt;&lt;wsp:rsid wsp:val=&quot;003921AA&quot;/&gt;&lt;wsp:rsid wsp:val=&quot;003923C4&quot;/&gt;&lt;wsp:rsid wsp:val=&quot;00392518&quot;/&gt;&lt;wsp:rsid wsp:val=&quot;003952D5&quot;/&gt;&lt;wsp:rsid wsp:val=&quot;003955D6&quot;/&gt;&lt;wsp:rsid wsp:val=&quot;00395CA6&quot;/&gt;&lt;wsp:rsid wsp:val=&quot;003976CD&quot;/&gt;&lt;wsp:rsid wsp:val=&quot;003976F9&quot;/&gt;&lt;wsp:rsid wsp:val=&quot;003979BC&quot;/&gt;&lt;wsp:rsid wsp:val=&quot;003A3A4B&quot;/&gt;&lt;wsp:rsid wsp:val=&quot;003A4B08&quot;/&gt;&lt;wsp:rsid wsp:val=&quot;003B07B6&quot;/&gt;&lt;wsp:rsid wsp:val=&quot;003B09E9&quot;/&gt;&lt;wsp:rsid wsp:val=&quot;003B64B8&quot;/&gt;&lt;wsp:rsid wsp:val=&quot;003B6546&quot;/&gt;&lt;wsp:rsid wsp:val=&quot;003B6A87&quot;/&gt;&lt;wsp:rsid wsp:val=&quot;003B7BC5&quot;/&gt;&lt;wsp:rsid wsp:val=&quot;003C1640&quot;/&gt;&lt;wsp:rsid wsp:val=&quot;003C20C2&quot;/&gt;&lt;wsp:rsid wsp:val=&quot;003C298E&quot;/&gt;&lt;wsp:rsid wsp:val=&quot;003C3952&quot;/&gt;&lt;wsp:rsid wsp:val=&quot;003C48B6&quot;/&gt;&lt;wsp:rsid wsp:val=&quot;003C5CB9&quot;/&gt;&lt;wsp:rsid wsp:val=&quot;003D0053&quot;/&gt;&lt;wsp:rsid wsp:val=&quot;003D068A&quot;/&gt;&lt;wsp:rsid wsp:val=&quot;003D0EEB&quot;/&gt;&lt;wsp:rsid wsp:val=&quot;003D23B5&quot;/&gt;&lt;wsp:rsid wsp:val=&quot;003E05C5&quot;/&gt;&lt;wsp:rsid wsp:val=&quot;003E1CE1&quot;/&gt;&lt;wsp:rsid wsp:val=&quot;003E2ADE&quot;/&gt;&lt;wsp:rsid wsp:val=&quot;003E38AE&quot;/&gt;&lt;wsp:rsid wsp:val=&quot;003E3965&quot;/&gt;&lt;wsp:rsid wsp:val=&quot;003E537D&quot;/&gt;&lt;wsp:rsid wsp:val=&quot;003F0CF3&quot;/&gt;&lt;wsp:rsid wsp:val=&quot;003F1AD0&quot;/&gt;&lt;wsp:rsid wsp:val=&quot;003F24B1&quot;/&gt;&lt;wsp:rsid wsp:val=&quot;003F2EC8&quot;/&gt;&lt;wsp:rsid wsp:val=&quot;003F438A&quot;/&gt;&lt;wsp:rsid wsp:val=&quot;003F4DE7&quot;/&gt;&lt;wsp:rsid wsp:val=&quot;00401359&quot;/&gt;&lt;wsp:rsid wsp:val=&quot;00402394&quot;/&gt;&lt;wsp:rsid wsp:val=&quot;0040494A&quot;/&gt;&lt;wsp:rsid wsp:val=&quot;00404DC1&quot;/&gt;&lt;wsp:rsid wsp:val=&quot;00406370&quot;/&gt;&lt;wsp:rsid wsp:val=&quot;0040664F&quot;/&gt;&lt;wsp:rsid wsp:val=&quot;00407481&quot;/&gt;&lt;wsp:rsid wsp:val=&quot;00412CE9&quot;/&gt;&lt;wsp:rsid wsp:val=&quot;004145C9&quot;/&gt;&lt;wsp:rsid wsp:val=&quot;00420136&quot;/&gt;&lt;wsp:rsid wsp:val=&quot;004201F7&quot;/&gt;&lt;wsp:rsid wsp:val=&quot;004211E5&quot;/&gt;&lt;wsp:rsid wsp:val=&quot;00421932&quot;/&gt;&lt;wsp:rsid wsp:val=&quot;004239CA&quot;/&gt;&lt;wsp:rsid wsp:val=&quot;00423FBF&quot;/&gt;&lt;wsp:rsid wsp:val=&quot;00426255&quot;/&gt;&lt;wsp:rsid wsp:val=&quot;0043308D&quot;/&gt;&lt;wsp:rsid wsp:val=&quot;00434060&quot;/&gt;&lt;wsp:rsid wsp:val=&quot;004367F3&quot;/&gt;&lt;wsp:rsid wsp:val=&quot;00436C7B&quot;/&gt;&lt;wsp:rsid wsp:val=&quot;00440177&quot;/&gt;&lt;wsp:rsid wsp:val=&quot;0044058C&quot;/&gt;&lt;wsp:rsid wsp:val=&quot;0044117F&quot;/&gt;&lt;wsp:rsid wsp:val=&quot;004441CD&quot;/&gt;&lt;wsp:rsid wsp:val=&quot;00445273&quot;/&gt;&lt;wsp:rsid wsp:val=&quot;00447043&quot;/&gt;&lt;wsp:rsid wsp:val=&quot;00451AFC&quot;/&gt;&lt;wsp:rsid wsp:val=&quot;004525DA&quot;/&gt;&lt;wsp:rsid wsp:val=&quot;00453EB9&quot;/&gt;&lt;wsp:rsid wsp:val=&quot;0045540A&quot;/&gt;&lt;wsp:rsid wsp:val=&quot;00455506&quot;/&gt;&lt;wsp:rsid wsp:val=&quot;00465403&quot;/&gt;&lt;wsp:rsid wsp:val=&quot;00466304&quot;/&gt;&lt;wsp:rsid wsp:val=&quot;00470F08&quot;/&gt;&lt;wsp:rsid wsp:val=&quot;00471007&quot;/&gt;&lt;wsp:rsid wsp:val=&quot;0047288D&quot;/&gt;&lt;wsp:rsid wsp:val=&quot;00473E2F&quot;/&gt;&lt;wsp:rsid wsp:val=&quot;004772E6&quot;/&gt;&lt;wsp:rsid wsp:val=&quot;00483E69&quot;/&gt;&lt;wsp:rsid wsp:val=&quot;00485D3A&quot;/&gt;&lt;wsp:rsid wsp:val=&quot;00485FDD&quot;/&gt;&lt;wsp:rsid wsp:val=&quot;00486A45&quot;/&gt;&lt;wsp:rsid wsp:val=&quot;0048733B&quot;/&gt;&lt;wsp:rsid wsp:val=&quot;00490331&quot;/&gt;&lt;wsp:rsid wsp:val=&quot;00491AAC&quot;/&gt;&lt;wsp:rsid wsp:val=&quot;0049260C&quot;/&gt;&lt;wsp:rsid wsp:val=&quot;004938D8&quot;/&gt;&lt;wsp:rsid wsp:val=&quot;00494EB5&quot;/&gt;&lt;wsp:rsid wsp:val=&quot;0049570A&quot;/&gt;&lt;wsp:rsid wsp:val=&quot;004959A4&quot;/&gt;&lt;wsp:rsid wsp:val=&quot;00495D38&quot;/&gt;&lt;wsp:rsid wsp:val=&quot;00496583&quot;/&gt;&lt;wsp:rsid wsp:val=&quot;004A34AD&quot;/&gt;&lt;wsp:rsid wsp:val=&quot;004A4F87&quot;/&gt;&lt;wsp:rsid wsp:val=&quot;004A50BC&quot;/&gt;&lt;wsp:rsid wsp:val=&quot;004B09DF&quot;/&gt;&lt;wsp:rsid wsp:val=&quot;004B192A&quot;/&gt;&lt;wsp:rsid wsp:val=&quot;004B3082&quot;/&gt;&lt;wsp:rsid wsp:val=&quot;004B6E2D&quot;/&gt;&lt;wsp:rsid wsp:val=&quot;004C0097&quot;/&gt;&lt;wsp:rsid wsp:val=&quot;004C042E&quot;/&gt;&lt;wsp:rsid wsp:val=&quot;004C0536&quot;/&gt;&lt;wsp:rsid wsp:val=&quot;004C1267&quot;/&gt;&lt;wsp:rsid wsp:val=&quot;004C416A&quot;/&gt;&lt;wsp:rsid wsp:val=&quot;004C63A5&quot;/&gt;&lt;wsp:rsid wsp:val=&quot;004C6ACA&quot;/&gt;&lt;wsp:rsid wsp:val=&quot;004C7F50&quot;/&gt;&lt;wsp:rsid wsp:val=&quot;004D008A&quot;/&gt;&lt;wsp:rsid wsp:val=&quot;004D0C67&quot;/&gt;&lt;wsp:rsid wsp:val=&quot;004D211E&quot;/&gt;&lt;wsp:rsid wsp:val=&quot;004D3AC7&quot;/&gt;&lt;wsp:rsid wsp:val=&quot;004D4C5E&quot;/&gt;&lt;wsp:rsid wsp:val=&quot;004D6AF3&quot;/&gt;&lt;wsp:rsid wsp:val=&quot;004E067F&quot;/&gt;&lt;wsp:rsid wsp:val=&quot;004E0B0B&quot;/&gt;&lt;wsp:rsid wsp:val=&quot;004E13DA&quot;/&gt;&lt;wsp:rsid wsp:val=&quot;004E3E40&quot;/&gt;&lt;wsp:rsid wsp:val=&quot;004E7D3E&quot;/&gt;&lt;wsp:rsid wsp:val=&quot;004F10DC&quot;/&gt;&lt;wsp:rsid wsp:val=&quot;004F17CF&quot;/&gt;&lt;wsp:rsid wsp:val=&quot;004F1BFD&quot;/&gt;&lt;wsp:rsid wsp:val=&quot;004F42AA&quot;/&gt;&lt;wsp:rsid wsp:val=&quot;004F47F8&quot;/&gt;&lt;wsp:rsid wsp:val=&quot;004F49FA&quot;/&gt;&lt;wsp:rsid wsp:val=&quot;004F6595&quot;/&gt;&lt;wsp:rsid wsp:val=&quot;004F7222&quot;/&gt;&lt;wsp:rsid wsp:val=&quot;004F7C3A&quot;/&gt;&lt;wsp:rsid wsp:val=&quot;0050011A&quot;/&gt;&lt;wsp:rsid wsp:val=&quot;00500314&quot;/&gt;&lt;wsp:rsid wsp:val=&quot;0050040A&quot;/&gt;&lt;wsp:rsid wsp:val=&quot;005048BC&quot;/&gt;&lt;wsp:rsid wsp:val=&quot;0050762C&quot;/&gt;&lt;wsp:rsid wsp:val=&quot;00513466&quot;/&gt;&lt;wsp:rsid wsp:val=&quot;00513FC4&quot;/&gt;&lt;wsp:rsid wsp:val=&quot;00516B99&quot;/&gt;&lt;wsp:rsid wsp:val=&quot;0052230F&quot;/&gt;&lt;wsp:rsid wsp:val=&quot;005263EB&quot;/&gt;&lt;wsp:rsid wsp:val=&quot;00531B6D&quot;/&gt;&lt;wsp:rsid wsp:val=&quot;005355E9&quot;/&gt;&lt;wsp:rsid wsp:val=&quot;005377BC&quot;/&gt;&lt;wsp:rsid wsp:val=&quot;00537887&quot;/&gt;&lt;wsp:rsid wsp:val=&quot;00537FE2&quot;/&gt;&lt;wsp:rsid wsp:val=&quot;0054112B&quot;/&gt;&lt;wsp:rsid wsp:val=&quot;00541C36&quot;/&gt;&lt;wsp:rsid wsp:val=&quot;00543CBF&quot;/&gt;&lt;wsp:rsid wsp:val=&quot;00544EB8&quot;/&gt;&lt;wsp:rsid wsp:val=&quot;005457B9&quot;/&gt;&lt;wsp:rsid wsp:val=&quot;00552604&quot;/&gt;&lt;wsp:rsid wsp:val=&quot;00552B2A&quot;/&gt;&lt;wsp:rsid wsp:val=&quot;00552E11&quot;/&gt;&lt;wsp:rsid wsp:val=&quot;0055531C&quot;/&gt;&lt;wsp:rsid wsp:val=&quot;005556DA&quot;/&gt;&lt;wsp:rsid wsp:val=&quot;005556DD&quot;/&gt;&lt;wsp:rsid wsp:val=&quot;00556D35&quot;/&gt;&lt;wsp:rsid wsp:val=&quot;0056089C&quot;/&gt;&lt;wsp:rsid wsp:val=&quot;00561A24&quot;/&gt;&lt;wsp:rsid wsp:val=&quot;00562C25&quot;/&gt;&lt;wsp:rsid wsp:val=&quot;0056462B&quot;/&gt;&lt;wsp:rsid wsp:val=&quot;005659B3&quot;/&gt;&lt;wsp:rsid wsp:val=&quot;00566C48&quot;/&gt;&lt;wsp:rsid wsp:val=&quot;0057343A&quot;/&gt;&lt;wsp:rsid wsp:val=&quot;0057366B&quot;/&gt;&lt;wsp:rsid wsp:val=&quot;00574598&quot;/&gt;&lt;wsp:rsid wsp:val=&quot;00576DA0&quot;/&gt;&lt;wsp:rsid wsp:val=&quot;005771B5&quot;/&gt;&lt;wsp:rsid wsp:val=&quot;005775FF&quot;/&gt;&lt;wsp:rsid wsp:val=&quot;00577BAC&quot;/&gt;&lt;wsp:rsid wsp:val=&quot;005810DE&quot;/&gt;&lt;wsp:rsid wsp:val=&quot;00582020&quot;/&gt;&lt;wsp:rsid wsp:val=&quot;00582A3D&quot;/&gt;&lt;wsp:rsid wsp:val=&quot;00582F0B&quot;/&gt;&lt;wsp:rsid wsp:val=&quot;00583B0C&quot;/&gt;&lt;wsp:rsid wsp:val=&quot;00583CF7&quot;/&gt;&lt;wsp:rsid wsp:val=&quot;00583FD9&quot;/&gt;&lt;wsp:rsid wsp:val=&quot;00584BCF&quot;/&gt;&lt;wsp:rsid wsp:val=&quot;00591EB0&quot;/&gt;&lt;wsp:rsid wsp:val=&quot;005921D6&quot;/&gt;&lt;wsp:rsid wsp:val=&quot;00592ABB&quot;/&gt;&lt;wsp:rsid wsp:val=&quot;00593355&quot;/&gt;&lt;wsp:rsid wsp:val=&quot;00596838&quot;/&gt;&lt;wsp:rsid wsp:val=&quot;005978CE&quot;/&gt;&lt;wsp:rsid wsp:val=&quot;005979E5&quot;/&gt;&lt;wsp:rsid wsp:val=&quot;005A1273&quot;/&gt;&lt;wsp:rsid wsp:val=&quot;005A1A96&quot;/&gt;&lt;wsp:rsid wsp:val=&quot;005A301C&quot;/&gt;&lt;wsp:rsid wsp:val=&quot;005A450B&quot;/&gt;&lt;wsp:rsid wsp:val=&quot;005A458F&quot;/&gt;&lt;wsp:rsid wsp:val=&quot;005A46AC&quot;/&gt;&lt;wsp:rsid wsp:val=&quot;005A5562&quot;/&gt;&lt;wsp:rsid wsp:val=&quot;005A5E2E&quot;/&gt;&lt;wsp:rsid wsp:val=&quot;005A6822&quot;/&gt;&lt;wsp:rsid wsp:val=&quot;005A6B44&quot;/&gt;&lt;wsp:rsid wsp:val=&quot;005A7991&quot;/&gt;&lt;wsp:rsid wsp:val=&quot;005B15D7&quot;/&gt;&lt;wsp:rsid wsp:val=&quot;005B2293&quot;/&gt;&lt;wsp:rsid wsp:val=&quot;005B32E3&quot;/&gt;&lt;wsp:rsid wsp:val=&quot;005B40F1&quot;/&gt;&lt;wsp:rsid wsp:val=&quot;005B4926&quot;/&gt;&lt;wsp:rsid wsp:val=&quot;005B54CC&quot;/&gt;&lt;wsp:rsid wsp:val=&quot;005B6265&quot;/&gt;&lt;wsp:rsid wsp:val=&quot;005B6346&quot;/&gt;&lt;wsp:rsid wsp:val=&quot;005B6AD4&quot;/&gt;&lt;wsp:rsid wsp:val=&quot;005B72DA&quot;/&gt;&lt;wsp:rsid wsp:val=&quot;005C27FE&quot;/&gt;&lt;wsp:rsid wsp:val=&quot;005C3CD8&quot;/&gt;&lt;wsp:rsid wsp:val=&quot;005C3D47&quot;/&gt;&lt;wsp:rsid wsp:val=&quot;005C4EDC&quot;/&gt;&lt;wsp:rsid wsp:val=&quot;005C5608&quot;/&gt;&lt;wsp:rsid wsp:val=&quot;005D0611&quot;/&gt;&lt;wsp:rsid wsp:val=&quot;005D110A&quot;/&gt;&lt;wsp:rsid wsp:val=&quot;005D1D8B&quot;/&gt;&lt;wsp:rsid wsp:val=&quot;005D2189&quot;/&gt;&lt;wsp:rsid wsp:val=&quot;005D2288&quot;/&gt;&lt;wsp:rsid wsp:val=&quot;005D4422&quot;/&gt;&lt;wsp:rsid wsp:val=&quot;005E0776&quot;/&gt;&lt;wsp:rsid wsp:val=&quot;005E1A7B&quot;/&gt;&lt;wsp:rsid wsp:val=&quot;005E41ED&quot;/&gt;&lt;wsp:rsid wsp:val=&quot;005F07EB&quot;/&gt;&lt;wsp:rsid wsp:val=&quot;005F1354&quot;/&gt;&lt;wsp:rsid wsp:val=&quot;005F5AA0&quot;/&gt;&lt;wsp:rsid wsp:val=&quot;00600365&quot;/&gt;&lt;wsp:rsid wsp:val=&quot;006017CD&quot;/&gt;&lt;wsp:rsid wsp:val=&quot;00604244&quot;/&gt;&lt;wsp:rsid wsp:val=&quot;00604271&quot;/&gt;&lt;wsp:rsid wsp:val=&quot;00605324&quot;/&gt;&lt;wsp:rsid wsp:val=&quot;00605D74&quot;/&gt;&lt;wsp:rsid wsp:val=&quot;00605E30&quot;/&gt;&lt;wsp:rsid wsp:val=&quot;00607AC9&quot;/&gt;&lt;wsp:rsid wsp:val=&quot;00611658&quot;/&gt;&lt;wsp:rsid wsp:val=&quot;00611EE2&quot;/&gt;&lt;wsp:rsid wsp:val=&quot;00615DCF&quot;/&gt;&lt;wsp:rsid wsp:val=&quot;00620440&quot;/&gt;&lt;wsp:rsid wsp:val=&quot;0062124B&quot;/&gt;&lt;wsp:rsid wsp:val=&quot;00621338&quot;/&gt;&lt;wsp:rsid wsp:val=&quot;0062418F&quot;/&gt;&lt;wsp:rsid wsp:val=&quot;006241B4&quot;/&gt;&lt;wsp:rsid wsp:val=&quot;006250BE&quot;/&gt;&lt;wsp:rsid wsp:val=&quot;00625588&quot;/&gt;&lt;wsp:rsid wsp:val=&quot;00632066&quot;/&gt;&lt;wsp:rsid wsp:val=&quot;006325FC&quot;/&gt;&lt;wsp:rsid wsp:val=&quot;00633560&quot;/&gt;&lt;wsp:rsid wsp:val=&quot;00635904&quot;/&gt;&lt;wsp:rsid wsp:val=&quot;0063688A&quot;/&gt;&lt;wsp:rsid wsp:val=&quot;00636EC7&quot;/&gt;&lt;wsp:rsid wsp:val=&quot;0063786F&quot;/&gt;&lt;wsp:rsid wsp:val=&quot;006418FE&quot;/&gt;&lt;wsp:rsid wsp:val=&quot;00642D9E&quot;/&gt;&lt;wsp:rsid wsp:val=&quot;0064537F&quot;/&gt;&lt;wsp:rsid wsp:val=&quot;006465BE&quot;/&gt;&lt;wsp:rsid wsp:val=&quot;00650251&quot;/&gt;&lt;wsp:rsid wsp:val=&quot;00651175&quot;/&gt;&lt;wsp:rsid wsp:val=&quot;00651478&quot;/&gt;&lt;wsp:rsid wsp:val=&quot;0065222A&quot;/&gt;&lt;wsp:rsid wsp:val=&quot;0065387C&quot;/&gt;&lt;wsp:rsid wsp:val=&quot;006548FF&quot;/&gt;&lt;wsp:rsid wsp:val=&quot;00657189&quot;/&gt;&lt;wsp:rsid wsp:val=&quot;00660F0D&quot;/&gt;&lt;wsp:rsid wsp:val=&quot;006637EC&quot;/&gt;&lt;wsp:rsid wsp:val=&quot;006652F2&quot;/&gt;&lt;wsp:rsid wsp:val=&quot;0066639C&quot;/&gt;&lt;wsp:rsid wsp:val=&quot;006673F3&quot;/&gt;&lt;wsp:rsid wsp:val=&quot;00667A8A&quot;/&gt;&lt;wsp:rsid wsp:val=&quot;006730BB&quot;/&gt;&lt;wsp:rsid wsp:val=&quot;006739C2&quot;/&gt;&lt;wsp:rsid wsp:val=&quot;00674A21&quot;/&gt;&lt;wsp:rsid wsp:val=&quot;0068088A&quot;/&gt;&lt;wsp:rsid wsp:val=&quot;00682E98&quot;/&gt;&lt;wsp:rsid wsp:val=&quot;00683227&quot;/&gt;&lt;wsp:rsid wsp:val=&quot;00686048&quot;/&gt;&lt;wsp:rsid wsp:val=&quot;00686BA3&quot;/&gt;&lt;wsp:rsid wsp:val=&quot;0069144E&quot;/&gt;&lt;wsp:rsid wsp:val=&quot;006919E9&quot;/&gt;&lt;wsp:rsid wsp:val=&quot;006930D7&quot;/&gt;&lt;wsp:rsid wsp:val=&quot;006930EA&quot;/&gt;&lt;wsp:rsid wsp:val=&quot;00694A5F&quot;/&gt;&lt;wsp:rsid wsp:val=&quot;006A1778&quot;/&gt;&lt;wsp:rsid wsp:val=&quot;006A24B6&quot;/&gt;&lt;wsp:rsid wsp:val=&quot;006B2449&quot;/&gt;&lt;wsp:rsid wsp:val=&quot;006B2834&quot;/&gt;&lt;wsp:rsid wsp:val=&quot;006B30F8&quot;/&gt;&lt;wsp:rsid wsp:val=&quot;006B3DDB&quot;/&gt;&lt;wsp:rsid wsp:val=&quot;006B3E33&quot;/&gt;&lt;wsp:rsid wsp:val=&quot;006C10D4&quot;/&gt;&lt;wsp:rsid wsp:val=&quot;006C19B6&quot;/&gt;&lt;wsp:rsid wsp:val=&quot;006C3EDF&quot;/&gt;&lt;wsp:rsid wsp:val=&quot;006C454A&quot;/&gt;&lt;wsp:rsid wsp:val=&quot;006C4726&quot;/&gt;&lt;wsp:rsid wsp:val=&quot;006C47FA&quot;/&gt;&lt;wsp:rsid wsp:val=&quot;006C60AD&quot;/&gt;&lt;wsp:rsid wsp:val=&quot;006C73DD&quot;/&gt;&lt;wsp:rsid wsp:val=&quot;006D0A19&quot;/&gt;&lt;wsp:rsid wsp:val=&quot;006D114B&quot;/&gt;&lt;wsp:rsid wsp:val=&quot;006D2E67&quot;/&gt;&lt;wsp:rsid wsp:val=&quot;006D6AFC&quot;/&gt;&lt;wsp:rsid wsp:val=&quot;006D6B93&quot;/&gt;&lt;wsp:rsid wsp:val=&quot;006D751A&quot;/&gt;&lt;wsp:rsid wsp:val=&quot;006D7865&quot;/&gt;&lt;wsp:rsid wsp:val=&quot;006D7F10&quot;/&gt;&lt;wsp:rsid wsp:val=&quot;006E28B4&quot;/&gt;&lt;wsp:rsid wsp:val=&quot;006E3854&quot;/&gt;&lt;wsp:rsid wsp:val=&quot;006E6874&quot;/&gt;&lt;wsp:rsid wsp:val=&quot;006E6A44&quot;/&gt;&lt;wsp:rsid wsp:val=&quot;006E7C56&quot;/&gt;&lt;wsp:rsid wsp:val=&quot;006F29CE&quot;/&gt;&lt;wsp:rsid wsp:val=&quot;006F2FAA&quot;/&gt;&lt;wsp:rsid wsp:val=&quot;006F3F28&quot;/&gt;&lt;wsp:rsid wsp:val=&quot;006F4436&quot;/&gt;&lt;wsp:rsid wsp:val=&quot;006F4B04&quot;/&gt;&lt;wsp:rsid wsp:val=&quot;006F5C54&quot;/&gt;&lt;wsp:rsid wsp:val=&quot;006F7651&quot;/&gt;&lt;wsp:rsid wsp:val=&quot;006F7D57&quot;/&gt;&lt;wsp:rsid wsp:val=&quot;00700688&quot;/&gt;&lt;wsp:rsid wsp:val=&quot;00700DCE&quot;/&gt;&lt;wsp:rsid wsp:val=&quot;00701135&quot;/&gt;&lt;wsp:rsid wsp:val=&quot;00701CC0&quot;/&gt;&lt;wsp:rsid wsp:val=&quot;0070525E&quot;/&gt;&lt;wsp:rsid wsp:val=&quot;00705AB9&quot;/&gt;&lt;wsp:rsid wsp:val=&quot;00706BBB&quot;/&gt;&lt;wsp:rsid wsp:val=&quot;00706D4D&quot;/&gt;&lt;wsp:rsid wsp:val=&quot;007114B3&quot;/&gt;&lt;wsp:rsid wsp:val=&quot;00712448&quot;/&gt;&lt;wsp:rsid wsp:val=&quot;007128BA&quot;/&gt;&lt;wsp:rsid wsp:val=&quot;00714637&quot;/&gt;&lt;wsp:rsid wsp:val=&quot;00715706&quot;/&gt;&lt;wsp:rsid wsp:val=&quot;00716F72&quot;/&gt;&lt;wsp:rsid wsp:val=&quot;007210F3&quot;/&gt;&lt;wsp:rsid wsp:val=&quot;00730132&quot;/&gt;&lt;wsp:rsid wsp:val=&quot;007309DF&quot;/&gt;&lt;wsp:rsid wsp:val=&quot;00733418&quot;/&gt;&lt;wsp:rsid wsp:val=&quot;00734782&quot;/&gt;&lt;wsp:rsid wsp:val=&quot;00736A90&quot;/&gt;&lt;wsp:rsid wsp:val=&quot;007375D3&quot;/&gt;&lt;wsp:rsid wsp:val=&quot;00740125&quot;/&gt;&lt;wsp:rsid wsp:val=&quot;00741D90&quot;/&gt;&lt;wsp:rsid wsp:val=&quot;00742C71&quot;/&gt;&lt;wsp:rsid wsp:val=&quot;00742D00&quot;/&gt;&lt;wsp:rsid wsp:val=&quot;007440D8&quot;/&gt;&lt;wsp:rsid wsp:val=&quot;0074538B&quot;/&gt;&lt;wsp:rsid wsp:val=&quot;00745C65&quot;/&gt;&lt;wsp:rsid wsp:val=&quot;00746C10&quot;/&gt;&lt;wsp:rsid wsp:val=&quot;00746DB9&quot;/&gt;&lt;wsp:rsid wsp:val=&quot;0074743C&quot;/&gt;&lt;wsp:rsid wsp:val=&quot;00750391&quot;/&gt;&lt;wsp:rsid wsp:val=&quot;00750913&quot;/&gt;&lt;wsp:rsid wsp:val=&quot;007572CD&quot;/&gt;&lt;wsp:rsid wsp:val=&quot;00757590&quot;/&gt;&lt;wsp:rsid wsp:val=&quot;00757EE8&quot;/&gt;&lt;wsp:rsid wsp:val=&quot;00762001&quot;/&gt;&lt;wsp:rsid wsp:val=&quot;00763802&quot;/&gt;&lt;wsp:rsid wsp:val=&quot;0076423D&quot;/&gt;&lt;wsp:rsid wsp:val=&quot;007662A0&quot;/&gt;&lt;wsp:rsid wsp:val=&quot;00766DAE&quot;/&gt;&lt;wsp:rsid wsp:val=&quot;00766E70&quot;/&gt;&lt;wsp:rsid wsp:val=&quot;00770813&quot;/&gt;&lt;wsp:rsid wsp:val=&quot;00771145&quot;/&gt;&lt;wsp:rsid wsp:val=&quot;00771A26&quot;/&gt;&lt;wsp:rsid wsp:val=&quot;0077361A&quot;/&gt;&lt;wsp:rsid wsp:val=&quot;00773E33&quot;/&gt;&lt;wsp:rsid wsp:val=&quot;007743A3&quot;/&gt;&lt;wsp:rsid wsp:val=&quot;0077654F&quot;/&gt;&lt;wsp:rsid wsp:val=&quot;0077699C&quot;/&gt;&lt;wsp:rsid wsp:val=&quot;00776C26&quot;/&gt;&lt;wsp:rsid wsp:val=&quot;00777284&quot;/&gt;&lt;wsp:rsid wsp:val=&quot;00780593&quot;/&gt;&lt;wsp:rsid wsp:val=&quot;007829FD&quot;/&gt;&lt;wsp:rsid wsp:val=&quot;00782FE0&quot;/&gt;&lt;wsp:rsid wsp:val=&quot;00784886&quot;/&gt;&lt;wsp:rsid wsp:val=&quot;00785263&quot;/&gt;&lt;wsp:rsid wsp:val=&quot;007857A0&quot;/&gt;&lt;wsp:rsid wsp:val=&quot;007861E5&quot;/&gt;&lt;wsp:rsid wsp:val=&quot;00787AF0&quot;/&gt;&lt;wsp:rsid wsp:val=&quot;00787DD0&quot;/&gt;&lt;wsp:rsid wsp:val=&quot;00792805&quot;/&gt;&lt;wsp:rsid wsp:val=&quot;00792DF5&quot;/&gt;&lt;wsp:rsid wsp:val=&quot;00792DFE&quot;/&gt;&lt;wsp:rsid wsp:val=&quot;00793F08&quot;/&gt;&lt;wsp:rsid wsp:val=&quot;00794952&quot;/&gt;&lt;wsp:rsid wsp:val=&quot;007949D9&quot;/&gt;&lt;wsp:rsid wsp:val=&quot;00794A59&quot;/&gt;&lt;wsp:rsid wsp:val=&quot;00795848&quot;/&gt;&lt;wsp:rsid wsp:val=&quot;00796A28&quot;/&gt;&lt;wsp:rsid wsp:val=&quot;00797C7E&quot;/&gt;&lt;wsp:rsid wsp:val=&quot;007A0EC4&quot;/&gt;&lt;wsp:rsid wsp:val=&quot;007A28C3&quot;/&gt;&lt;wsp:rsid wsp:val=&quot;007A5C44&quot;/&gt;&lt;wsp:rsid wsp:val=&quot;007B0043&quot;/&gt;&lt;wsp:rsid wsp:val=&quot;007B0213&quot;/&gt;&lt;wsp:rsid wsp:val=&quot;007B0732&quot;/&gt;&lt;wsp:rsid wsp:val=&quot;007B0F19&quot;/&gt;&lt;wsp:rsid wsp:val=&quot;007B29DB&quot;/&gt;&lt;wsp:rsid wsp:val=&quot;007B31E3&quot;/&gt;&lt;wsp:rsid wsp:val=&quot;007B367F&quot;/&gt;&lt;wsp:rsid wsp:val=&quot;007B394B&quot;/&gt;&lt;wsp:rsid wsp:val=&quot;007B686F&quot;/&gt;&lt;wsp:rsid wsp:val=&quot;007B6875&quot;/&gt;&lt;wsp:rsid wsp:val=&quot;007B7381&quot;/&gt;&lt;wsp:rsid wsp:val=&quot;007C17B9&quot;/&gt;&lt;wsp:rsid wsp:val=&quot;007C1963&quot;/&gt;&lt;wsp:rsid wsp:val=&quot;007C1AAB&quot;/&gt;&lt;wsp:rsid wsp:val=&quot;007C1EA2&quot;/&gt;&lt;wsp:rsid wsp:val=&quot;007C2D3E&quot;/&gt;&lt;wsp:rsid wsp:val=&quot;007C4511&quot;/&gt;&lt;wsp:rsid wsp:val=&quot;007C76E4&quot;/&gt;&lt;wsp:rsid wsp:val=&quot;007D1429&quot;/&gt;&lt;wsp:rsid wsp:val=&quot;007D3738&quot;/&gt;&lt;wsp:rsid wsp:val=&quot;007D3C5C&quot;/&gt;&lt;wsp:rsid wsp:val=&quot;007E1CAB&quot;/&gt;&lt;wsp:rsid wsp:val=&quot;007E362A&quot;/&gt;&lt;wsp:rsid wsp:val=&quot;007E5B3F&quot;/&gt;&lt;wsp:rsid wsp:val=&quot;007E64A2&quot;/&gt;&lt;wsp:rsid wsp:val=&quot;007F0A58&quot;/&gt;&lt;wsp:rsid wsp:val=&quot;007F1BB6&quot;/&gt;&lt;wsp:rsid wsp:val=&quot;007F1E62&quot;/&gt;&lt;wsp:rsid wsp:val=&quot;007F2156&quot;/&gt;&lt;wsp:rsid wsp:val=&quot;007F2C0A&quot;/&gt;&lt;wsp:rsid wsp:val=&quot;007F52E3&quot;/&gt;&lt;wsp:rsid wsp:val=&quot;008019F8&quot;/&gt;&lt;wsp:rsid wsp:val=&quot;00802491&quot;/&gt;&lt;wsp:rsid wsp:val=&quot;0080280E&quot;/&gt;&lt;wsp:rsid wsp:val=&quot;008030F9&quot;/&gt;&lt;wsp:rsid wsp:val=&quot;0081015F&quot;/&gt;&lt;wsp:rsid wsp:val=&quot;008122CA&quot;/&gt;&lt;wsp:rsid wsp:val=&quot;00812A67&quot;/&gt;&lt;wsp:rsid wsp:val=&quot;00816509&quot;/&gt;&lt;wsp:rsid wsp:val=&quot;008168A2&quot;/&gt;&lt;wsp:rsid wsp:val=&quot;00816E51&quot;/&gt;&lt;wsp:rsid wsp:val=&quot;00817E8C&quot;/&gt;&lt;wsp:rsid wsp:val=&quot;00820F1E&quot;/&gt;&lt;wsp:rsid wsp:val=&quot;00821C2F&quot;/&gt;&lt;wsp:rsid wsp:val=&quot;00821F18&quot;/&gt;&lt;wsp:rsid wsp:val=&quot;00822945&quot;/&gt;&lt;wsp:rsid wsp:val=&quot;00824161&quot;/&gt;&lt;wsp:rsid wsp:val=&quot;008249DE&quot;/&gt;&lt;wsp:rsid wsp:val=&quot;00825EB2&quot;/&gt;&lt;wsp:rsid wsp:val=&quot;00832AA3&quot;/&gt;&lt;wsp:rsid wsp:val=&quot;00832CF1&quot;/&gt;&lt;wsp:rsid wsp:val=&quot;00834A74&quot;/&gt;&lt;wsp:rsid wsp:val=&quot;00834F59&quot;/&gt;&lt;wsp:rsid wsp:val=&quot;00837C5E&quot;/&gt;&lt;wsp:rsid wsp:val=&quot;008401A5&quot;/&gt;&lt;wsp:rsid wsp:val=&quot;008415F2&quot;/&gt;&lt;wsp:rsid wsp:val=&quot;00841893&quot;/&gt;&lt;wsp:rsid wsp:val=&quot;008430CF&quot;/&gt;&lt;wsp:rsid wsp:val=&quot;00843CA3&quot;/&gt;&lt;wsp:rsid wsp:val=&quot;00846F31&quot;/&gt;&lt;wsp:rsid wsp:val=&quot;00851E29&quot;/&gt;&lt;wsp:rsid wsp:val=&quot;008520FC&quot;/&gt;&lt;wsp:rsid wsp:val=&quot;008522EC&quot;/&gt;&lt;wsp:rsid wsp:val=&quot;00852752&quot;/&gt;&lt;wsp:rsid wsp:val=&quot;008527EC&quot;/&gt;&lt;wsp:rsid wsp:val=&quot;00853C1A&quot;/&gt;&lt;wsp:rsid wsp:val=&quot;00853E9B&quot;/&gt;&lt;wsp:rsid wsp:val=&quot;00857352&quot;/&gt;&lt;wsp:rsid wsp:val=&quot;008578D5&quot;/&gt;&lt;wsp:rsid wsp:val=&quot;00860A4E&quot;/&gt;&lt;wsp:rsid wsp:val=&quot;00861159&quot;/&gt;&lt;wsp:rsid wsp:val=&quot;00861CFE&quot;/&gt;&lt;wsp:rsid wsp:val=&quot;008628F8&quot;/&gt;&lt;wsp:rsid wsp:val=&quot;00862E93&quot;/&gt;&lt;wsp:rsid wsp:val=&quot;008637F9&quot;/&gt;&lt;wsp:rsid wsp:val=&quot;008648BC&quot;/&gt;&lt;wsp:rsid wsp:val=&quot;00865217&quot;/&gt;&lt;wsp:rsid wsp:val=&quot;00870D19&quot;/&gt;&lt;wsp:rsid wsp:val=&quot;0087236B&quot;/&gt;&lt;wsp:rsid wsp:val=&quot;00873753&quot;/&gt;&lt;wsp:rsid wsp:val=&quot;00874D08&quot;/&gt;&lt;wsp:rsid wsp:val=&quot;00874EE6&quot;/&gt;&lt;wsp:rsid wsp:val=&quot;00876071&quot;/&gt;&lt;wsp:rsid wsp:val=&quot;008766C6&quot;/&gt;&lt;wsp:rsid wsp:val=&quot;00883F6F&quot;/&gt;&lt;wsp:rsid wsp:val=&quot;00884900&quot;/&gt;&lt;wsp:rsid wsp:val=&quot;00884CEA&quot;/&gt;&lt;wsp:rsid wsp:val=&quot;00885095&quot;/&gt;&lt;wsp:rsid wsp:val=&quot;00886368&quot;/&gt;&lt;wsp:rsid wsp:val=&quot;00886424&quot;/&gt;&lt;wsp:rsid wsp:val=&quot;00887404&quot;/&gt;&lt;wsp:rsid wsp:val=&quot;00887ADF&quot;/&gt;&lt;wsp:rsid wsp:val=&quot;00890F18&quot;/&gt;&lt;wsp:rsid wsp:val=&quot;008914BB&quot;/&gt;&lt;wsp:rsid wsp:val=&quot;00892717&quot;/&gt;&lt;wsp:rsid wsp:val=&quot;0089346D&quot;/&gt;&lt;wsp:rsid wsp:val=&quot;00893DF2&quot;/&gt;&lt;wsp:rsid wsp:val=&quot;0089461F&quot;/&gt;&lt;wsp:rsid wsp:val=&quot;008949B7&quot;/&gt;&lt;wsp:rsid wsp:val=&quot;00895A39&quot;/&gt;&lt;wsp:rsid wsp:val=&quot;00896263&quot;/&gt;&lt;wsp:rsid wsp:val=&quot;008A6CF6&quot;/&gt;&lt;wsp:rsid wsp:val=&quot;008A7003&quot;/&gt;&lt;wsp:rsid wsp:val=&quot;008A729A&quot;/&gt;&lt;wsp:rsid wsp:val=&quot;008A795A&quot;/&gt;&lt;wsp:rsid wsp:val=&quot;008A7D13&quot;/&gt;&lt;wsp:rsid wsp:val=&quot;008B605C&quot;/&gt;&lt;wsp:rsid wsp:val=&quot;008C1880&quot;/&gt;&lt;wsp:rsid wsp:val=&quot;008C2C1C&quot;/&gt;&lt;wsp:rsid wsp:val=&quot;008D12B2&quot;/&gt;&lt;wsp:rsid wsp:val=&quot;008D3BE8&quot;/&gt;&lt;wsp:rsid wsp:val=&quot;008E15E2&quot;/&gt;&lt;wsp:rsid wsp:val=&quot;008E3172&quot;/&gt;&lt;wsp:rsid wsp:val=&quot;008E5A9D&quot;/&gt;&lt;wsp:rsid wsp:val=&quot;008E6801&quot;/&gt;&lt;wsp:rsid wsp:val=&quot;008E7F0F&quot;/&gt;&lt;wsp:rsid wsp:val=&quot;008E7F7F&quot;/&gt;&lt;wsp:rsid wsp:val=&quot;008F1A96&quot;/&gt;&lt;wsp:rsid wsp:val=&quot;008F307D&quot;/&gt;&lt;wsp:rsid wsp:val=&quot;008F41C2&quot;/&gt;&lt;wsp:rsid wsp:val=&quot;008F48F9&quot;/&gt;&lt;wsp:rsid wsp:val=&quot;008F4E20&quot;/&gt;&lt;wsp:rsid wsp:val=&quot;008F5B45&quot;/&gt;&lt;wsp:rsid wsp:val=&quot;00900016&quot;/&gt;&lt;wsp:rsid wsp:val=&quot;009010F9&quot;/&gt;&lt;wsp:rsid wsp:val=&quot;0090577A&quot;/&gt;&lt;wsp:rsid wsp:val=&quot;00906FC0&quot;/&gt;&lt;wsp:rsid wsp:val=&quot;00907DFD&quot;/&gt;&lt;wsp:rsid wsp:val=&quot;00911A9A&quot;/&gt;&lt;wsp:rsid wsp:val=&quot;009126D1&quot;/&gt;&lt;wsp:rsid wsp:val=&quot;00916594&quot;/&gt;&lt;wsp:rsid wsp:val=&quot;0091744C&quot;/&gt;&lt;wsp:rsid wsp:val=&quot;00920C78&quot;/&gt;&lt;wsp:rsid wsp:val=&quot;009267C2&quot;/&gt;&lt;wsp:rsid wsp:val=&quot;00926B2D&quot;/&gt;&lt;wsp:rsid wsp:val=&quot;00926FEE&quot;/&gt;&lt;wsp:rsid wsp:val=&quot;00931684&quot;/&gt;&lt;wsp:rsid wsp:val=&quot;00931A7F&quot;/&gt;&lt;wsp:rsid wsp:val=&quot;009333B4&quot;/&gt;&lt;wsp:rsid wsp:val=&quot;009368A6&quot;/&gt;&lt;wsp:rsid wsp:val=&quot;00937B04&quot;/&gt;&lt;wsp:rsid wsp:val=&quot;00940171&quot;/&gt;&lt;wsp:rsid wsp:val=&quot;00941B93&quot;/&gt;&lt;wsp:rsid wsp:val=&quot;009439EA&quot;/&gt;&lt;wsp:rsid wsp:val=&quot;0094467C&quot;/&gt;&lt;wsp:rsid wsp:val=&quot;00944A0C&quot;/&gt;&lt;wsp:rsid wsp:val=&quot;009458F7&quot;/&gt;&lt;wsp:rsid wsp:val=&quot;00946288&quot;/&gt;&lt;wsp:rsid wsp:val=&quot;0094631A&quot;/&gt;&lt;wsp:rsid wsp:val=&quot;00947784&quot;/&gt;&lt;wsp:rsid wsp:val=&quot;0095261A&quot;/&gt;&lt;wsp:rsid wsp:val=&quot;00952E10&quot;/&gt;&lt;wsp:rsid wsp:val=&quot;0095528D&quot;/&gt;&lt;wsp:rsid wsp:val=&quot;00955F76&quot;/&gt;&lt;wsp:rsid wsp:val=&quot;0095692D&quot;/&gt;&lt;wsp:rsid wsp:val=&quot;00956FBF&quot;/&gt;&lt;wsp:rsid wsp:val=&quot;0095705E&quot;/&gt;&lt;wsp:rsid wsp:val=&quot;0095785E&quot;/&gt;&lt;wsp:rsid wsp:val=&quot;00960D02&quot;/&gt;&lt;wsp:rsid wsp:val=&quot;009617B6&quot;/&gt;&lt;wsp:rsid wsp:val=&quot;00961FDA&quot;/&gt;&lt;wsp:rsid wsp:val=&quot;0096272A&quot;/&gt;&lt;wsp:rsid wsp:val=&quot;0096467D&quot;/&gt;&lt;wsp:rsid wsp:val=&quot;0096661D&quot;/&gt;&lt;wsp:rsid wsp:val=&quot;0097007B&quot;/&gt;&lt;wsp:rsid wsp:val=&quot;009704E8&quot;/&gt;&lt;wsp:rsid wsp:val=&quot;00970C34&quot;/&gt;&lt;wsp:rsid wsp:val=&quot;009729B6&quot;/&gt;&lt;wsp:rsid wsp:val=&quot;00972E2F&quot;/&gt;&lt;wsp:rsid wsp:val=&quot;00972E4C&quot;/&gt;&lt;wsp:rsid wsp:val=&quot;009730A1&quot;/&gt;&lt;wsp:rsid wsp:val=&quot;009733A0&quot;/&gt;&lt;wsp:rsid wsp:val=&quot;009752C1&quot;/&gt;&lt;wsp:rsid wsp:val=&quot;009762DB&quot;/&gt;&lt;wsp:rsid wsp:val=&quot;009765F2&quot;/&gt;&lt;wsp:rsid wsp:val=&quot;009768D8&quot;/&gt;&lt;wsp:rsid wsp:val=&quot;00976BDA&quot;/&gt;&lt;wsp:rsid wsp:val=&quot;00977024&quot;/&gt;&lt;wsp:rsid wsp:val=&quot;009770E3&quot;/&gt;&lt;wsp:rsid wsp:val=&quot;00977376&quot;/&gt;&lt;wsp:rsid wsp:val=&quot;00980238&quot;/&gt;&lt;wsp:rsid wsp:val=&quot;00982347&quot;/&gt;&lt;wsp:rsid wsp:val=&quot;00983120&quot;/&gt;&lt;wsp:rsid wsp:val=&quot;0098342B&quot;/&gt;&lt;wsp:rsid wsp:val=&quot;0098617F&quot;/&gt;&lt;wsp:rsid wsp:val=&quot;00986572&quot;/&gt;&lt;wsp:rsid wsp:val=&quot;00986B70&quot;/&gt;&lt;wsp:rsid wsp:val=&quot;00987528&quot;/&gt;&lt;wsp:rsid wsp:val=&quot;0098753B&quot;/&gt;&lt;wsp:rsid wsp:val=&quot;00987D1A&quot;/&gt;&lt;wsp:rsid wsp:val=&quot;0099164A&quot;/&gt;&lt;wsp:rsid wsp:val=&quot;00991B45&quot;/&gt;&lt;wsp:rsid wsp:val=&quot;00991FE5&quot;/&gt;&lt;wsp:rsid wsp:val=&quot;00992114&quot;/&gt;&lt;wsp:rsid wsp:val=&quot;0099326F&quot;/&gt;&lt;wsp:rsid wsp:val=&quot;00993CC2&quot;/&gt;&lt;wsp:rsid wsp:val=&quot;009940DE&quot;/&gt;&lt;wsp:rsid wsp:val=&quot;00995A44&quot;/&gt;&lt;wsp:rsid wsp:val=&quot;00997355&quot;/&gt;&lt;wsp:rsid wsp:val=&quot;00997951&quot;/&gt;&lt;wsp:rsid wsp:val=&quot;009A03B5&quot;/&gt;&lt;wsp:rsid wsp:val=&quot;009A0CD2&quot;/&gt;&lt;wsp:rsid wsp:val=&quot;009A166B&quot;/&gt;&lt;wsp:rsid wsp:val=&quot;009A1C44&quot;/&gt;&lt;wsp:rsid wsp:val=&quot;009A2159&quot;/&gt;&lt;wsp:rsid wsp:val=&quot;009A2C5A&quot;/&gt;&lt;wsp:rsid wsp:val=&quot;009A42DC&quot;/&gt;&lt;wsp:rsid wsp:val=&quot;009A63B1&quot;/&gt;&lt;wsp:rsid wsp:val=&quot;009A6839&quot;/&gt;&lt;wsp:rsid wsp:val=&quot;009B04F1&quot;/&gt;&lt;wsp:rsid wsp:val=&quot;009B15F8&quot;/&gt;&lt;wsp:rsid wsp:val=&quot;009B34E3&quot;/&gt;&lt;wsp:rsid wsp:val=&quot;009B7E49&quot;/&gt;&lt;wsp:rsid wsp:val=&quot;009C03D9&quot;/&gt;&lt;wsp:rsid wsp:val=&quot;009C0768&quot;/&gt;&lt;wsp:rsid wsp:val=&quot;009C1948&quot;/&gt;&lt;wsp:rsid wsp:val=&quot;009C3B2B&quot;/&gt;&lt;wsp:rsid wsp:val=&quot;009C5997&quot;/&gt;&lt;wsp:rsid wsp:val=&quot;009C6F31&quot;/&gt;&lt;wsp:rsid wsp:val=&quot;009C735A&quot;/&gt;&lt;wsp:rsid wsp:val=&quot;009D02D9&quot;/&gt;&lt;wsp:rsid wsp:val=&quot;009D53A1&quot;/&gt;&lt;wsp:rsid wsp:val=&quot;009E19B5&quot;/&gt;&lt;wsp:rsid wsp:val=&quot;009E2B3D&quot;/&gt;&lt;wsp:rsid wsp:val=&quot;009E3F2C&quot;/&gt;&lt;wsp:rsid wsp:val=&quot;009E4C56&quot;/&gt;&lt;wsp:rsid wsp:val=&quot;009F1177&quot;/&gt;&lt;wsp:rsid wsp:val=&quot;009F11C4&quot;/&gt;&lt;wsp:rsid wsp:val=&quot;009F23B4&quot;/&gt;&lt;wsp:rsid wsp:val=&quot;00A05E03&quot;/&gt;&lt;wsp:rsid wsp:val=&quot;00A0746F&quot;/&gt;&lt;wsp:rsid wsp:val=&quot;00A07680&quot;/&gt;&lt;wsp:rsid wsp:val=&quot;00A07D8A&quot;/&gt;&lt;wsp:rsid wsp:val=&quot;00A10311&quot;/&gt;&lt;wsp:rsid wsp:val=&quot;00A11310&quot;/&gt;&lt;wsp:rsid wsp:val=&quot;00A12CC0&quot;/&gt;&lt;wsp:rsid wsp:val=&quot;00A12DCD&quot;/&gt;&lt;wsp:rsid wsp:val=&quot;00A17EB5&quot;/&gt;&lt;wsp:rsid wsp:val=&quot;00A2226F&quot;/&gt;&lt;wsp:rsid wsp:val=&quot;00A22A95&quot;/&gt;&lt;wsp:rsid wsp:val=&quot;00A232AF&quot;/&gt;&lt;wsp:rsid wsp:val=&quot;00A2349C&quot;/&gt;&lt;wsp:rsid wsp:val=&quot;00A23A33&quot;/&gt;&lt;wsp:rsid wsp:val=&quot;00A24E4D&quot;/&gt;&lt;wsp:rsid wsp:val=&quot;00A25030&quot;/&gt;&lt;wsp:rsid wsp:val=&quot;00A26B7F&quot;/&gt;&lt;wsp:rsid wsp:val=&quot;00A27375&quot;/&gt;&lt;wsp:rsid wsp:val=&quot;00A30FAE&quot;/&gt;&lt;wsp:rsid wsp:val=&quot;00A31A72&quot;/&gt;&lt;wsp:rsid wsp:val=&quot;00A344C9&quot;/&gt;&lt;wsp:rsid wsp:val=&quot;00A34B9B&quot;/&gt;&lt;wsp:rsid wsp:val=&quot;00A35816&quot;/&gt;&lt;wsp:rsid wsp:val=&quot;00A37B13&quot;/&gt;&lt;wsp:rsid wsp:val=&quot;00A42573&quot;/&gt;&lt;wsp:rsid wsp:val=&quot;00A42874&quot;/&gt;&lt;wsp:rsid wsp:val=&quot;00A44981&quot;/&gt;&lt;wsp:rsid wsp:val=&quot;00A46793&quot;/&gt;&lt;wsp:rsid wsp:val=&quot;00A471B6&quot;/&gt;&lt;wsp:rsid wsp:val=&quot;00A479D9&quot;/&gt;&lt;wsp:rsid wsp:val=&quot;00A47AFD&quot;/&gt;&lt;wsp:rsid wsp:val=&quot;00A5076C&quot;/&gt;&lt;wsp:rsid wsp:val=&quot;00A51CE0&quot;/&gt;&lt;wsp:rsid wsp:val=&quot;00A52051&quot;/&gt;&lt;wsp:rsid wsp:val=&quot;00A52933&quot;/&gt;&lt;wsp:rsid wsp:val=&quot;00A533CC&quot;/&gt;&lt;wsp:rsid wsp:val=&quot;00A55483&quot;/&gt;&lt;wsp:rsid wsp:val=&quot;00A5620B&quot;/&gt;&lt;wsp:rsid wsp:val=&quot;00A56E9D&quot;/&gt;&lt;wsp:rsid wsp:val=&quot;00A57EB7&quot;/&gt;&lt;wsp:rsid wsp:val=&quot;00A60610&quot;/&gt;&lt;wsp:rsid wsp:val=&quot;00A60795&quot;/&gt;&lt;wsp:rsid wsp:val=&quot;00A61052&quot;/&gt;&lt;wsp:rsid wsp:val=&quot;00A624D0&quot;/&gt;&lt;wsp:rsid wsp:val=&quot;00A62C75&quot;/&gt;&lt;wsp:rsid wsp:val=&quot;00A62F03&quot;/&gt;&lt;wsp:rsid wsp:val=&quot;00A63B59&quot;/&gt;&lt;wsp:rsid wsp:val=&quot;00A6445D&quot;/&gt;&lt;wsp:rsid wsp:val=&quot;00A64816&quot;/&gt;&lt;wsp:rsid wsp:val=&quot;00A64D58&quot;/&gt;&lt;wsp:rsid wsp:val=&quot;00A657D1&quot;/&gt;&lt;wsp:rsid wsp:val=&quot;00A72644&quot;/&gt;&lt;wsp:rsid wsp:val=&quot;00A742DA&quot;/&gt;&lt;wsp:rsid wsp:val=&quot;00A7763E&quot;/&gt;&lt;wsp:rsid wsp:val=&quot;00A77FD6&quot;/&gt;&lt;wsp:rsid wsp:val=&quot;00A8089E&quot;/&gt;&lt;wsp:rsid wsp:val=&quot;00A814EC&quot;/&gt;&lt;wsp:rsid wsp:val=&quot;00A820F3&quot;/&gt;&lt;wsp:rsid wsp:val=&quot;00A82729&quot;/&gt;&lt;wsp:rsid wsp:val=&quot;00A82892&quot;/&gt;&lt;wsp:rsid wsp:val=&quot;00A82F84&quot;/&gt;&lt;wsp:rsid wsp:val=&quot;00A83992&quot;/&gt;&lt;wsp:rsid wsp:val=&quot;00A83B36&quot;/&gt;&lt;wsp:rsid wsp:val=&quot;00A85173&quot;/&gt;&lt;wsp:rsid wsp:val=&quot;00A92CF8&quot;/&gt;&lt;wsp:rsid wsp:val=&quot;00A95476&quot;/&gt;&lt;wsp:rsid wsp:val=&quot;00A955DB&quot;/&gt;&lt;wsp:rsid wsp:val=&quot;00A95887&quot;/&gt;&lt;wsp:rsid wsp:val=&quot;00AA06E4&quot;/&gt;&lt;wsp:rsid wsp:val=&quot;00AA0EEE&quot;/&gt;&lt;wsp:rsid wsp:val=&quot;00AA1A3D&quot;/&gt;&lt;wsp:rsid wsp:val=&quot;00AA2781&quot;/&gt;&lt;wsp:rsid wsp:val=&quot;00AA3AC9&quot;/&gt;&lt;wsp:rsid wsp:val=&quot;00AB0D6E&quot;/&gt;&lt;wsp:rsid wsp:val=&quot;00AB2C6C&quot;/&gt;&lt;wsp:rsid wsp:val=&quot;00AB313F&quot;/&gt;&lt;wsp:rsid wsp:val=&quot;00AB4051&quot;/&gt;&lt;wsp:rsid wsp:val=&quot;00AB4625&quot;/&gt;&lt;wsp:rsid wsp:val=&quot;00AB4F51&quot;/&gt;&lt;wsp:rsid wsp:val=&quot;00AB5734&quot;/&gt;&lt;wsp:rsid wsp:val=&quot;00AB624B&quot;/&gt;&lt;wsp:rsid wsp:val=&quot;00AB7ADB&quot;/&gt;&lt;wsp:rsid wsp:val=&quot;00AC1AD3&quot;/&gt;&lt;wsp:rsid wsp:val=&quot;00AC1F16&quot;/&gt;&lt;wsp:rsid wsp:val=&quot;00AC2F54&quot;/&gt;&lt;wsp:rsid wsp:val=&quot;00AC4834&quot;/&gt;&lt;wsp:rsid wsp:val=&quot;00AC6011&quot;/&gt;&lt;wsp:rsid wsp:val=&quot;00AD2353&quot;/&gt;&lt;wsp:rsid wsp:val=&quot;00AD3211&quot;/&gt;&lt;wsp:rsid wsp:val=&quot;00AD7A6A&quot;/&gt;&lt;wsp:rsid wsp:val=&quot;00AD7C39&quot;/&gt;&lt;wsp:rsid wsp:val=&quot;00AE0B57&quot;/&gt;&lt;wsp:rsid wsp:val=&quot;00AE2EA9&quot;/&gt;&lt;wsp:rsid wsp:val=&quot;00AE4158&quot;/&gt;&lt;wsp:rsid wsp:val=&quot;00AE4353&quot;/&gt;&lt;wsp:rsid wsp:val=&quot;00AE5181&quot;/&gt;&lt;wsp:rsid wsp:val=&quot;00AE5A8A&quot;/&gt;&lt;wsp:rsid wsp:val=&quot;00AE7214&quot;/&gt;&lt;wsp:rsid wsp:val=&quot;00AE73BD&quot;/&gt;&lt;wsp:rsid wsp:val=&quot;00AE7AE4&quot;/&gt;&lt;wsp:rsid wsp:val=&quot;00AF1B86&quot;/&gt;&lt;wsp:rsid wsp:val=&quot;00AF5608&quot;/&gt;&lt;wsp:rsid wsp:val=&quot;00AF59DF&quot;/&gt;&lt;wsp:rsid wsp:val=&quot;00AF5CDD&quot;/&gt;&lt;wsp:rsid wsp:val=&quot;00AF7311&quot;/&gt;&lt;wsp:rsid wsp:val=&quot;00B00AD6&quot;/&gt;&lt;wsp:rsid wsp:val=&quot;00B01BA0&quot;/&gt;&lt;wsp:rsid wsp:val=&quot;00B0427A&quot;/&gt;&lt;wsp:rsid wsp:val=&quot;00B048D0&quot;/&gt;&lt;wsp:rsid wsp:val=&quot;00B0630C&quot;/&gt;&lt;wsp:rsid wsp:val=&quot;00B06AF8&quot;/&gt;&lt;wsp:rsid wsp:val=&quot;00B07732&quot;/&gt;&lt;wsp:rsid wsp:val=&quot;00B1158A&quot;/&gt;&lt;wsp:rsid wsp:val=&quot;00B12BD4&quot;/&gt;&lt;wsp:rsid wsp:val=&quot;00B13387&quot;/&gt;&lt;wsp:rsid wsp:val=&quot;00B14741&quot;/&gt;&lt;wsp:rsid wsp:val=&quot;00B151E6&quot;/&gt;&lt;wsp:rsid wsp:val=&quot;00B1768C&quot;/&gt;&lt;wsp:rsid wsp:val=&quot;00B21D95&quot;/&gt;&lt;wsp:rsid wsp:val=&quot;00B22AF1&quot;/&gt;&lt;wsp:rsid wsp:val=&quot;00B24006&quot;/&gt;&lt;wsp:rsid wsp:val=&quot;00B248FD&quot;/&gt;&lt;wsp:rsid wsp:val=&quot;00B2577F&quot;/&gt;&lt;wsp:rsid wsp:val=&quot;00B26DAB&quot;/&gt;&lt;wsp:rsid wsp:val=&quot;00B3283D&quot;/&gt;&lt;wsp:rsid wsp:val=&quot;00B32F8B&quot;/&gt;&lt;wsp:rsid wsp:val=&quot;00B336C9&quot;/&gt;&lt;wsp:rsid wsp:val=&quot;00B36E83&quot;/&gt;&lt;wsp:rsid wsp:val=&quot;00B37927&quot;/&gt;&lt;wsp:rsid wsp:val=&quot;00B37EE0&quot;/&gt;&lt;wsp:rsid wsp:val=&quot;00B409AC&quot;/&gt;&lt;wsp:rsid wsp:val=&quot;00B42228&quot;/&gt;&lt;wsp:rsid wsp:val=&quot;00B42587&quot;/&gt;&lt;wsp:rsid wsp:val=&quot;00B43265&quot;/&gt;&lt;wsp:rsid wsp:val=&quot;00B4432A&quot;/&gt;&lt;wsp:rsid wsp:val=&quot;00B45F8D&quot;/&gt;&lt;wsp:rsid wsp:val=&quot;00B469DD&quot;/&gt;&lt;wsp:rsid wsp:val=&quot;00B477FA&quot;/&gt;&lt;wsp:rsid wsp:val=&quot;00B50470&quot;/&gt;&lt;wsp:rsid wsp:val=&quot;00B5168D&quot;/&gt;&lt;wsp:rsid wsp:val=&quot;00B5178C&quot;/&gt;&lt;wsp:rsid wsp:val=&quot;00B52F7C&quot;/&gt;&lt;wsp:rsid wsp:val=&quot;00B551E1&quot;/&gt;&lt;wsp:rsid wsp:val=&quot;00B57C68&quot;/&gt;&lt;wsp:rsid wsp:val=&quot;00B60594&quot;/&gt;&lt;wsp:rsid wsp:val=&quot;00B6198F&quot;/&gt;&lt;wsp:rsid wsp:val=&quot;00B62E93&quot;/&gt;&lt;wsp:rsid wsp:val=&quot;00B62F95&quot;/&gt;&lt;wsp:rsid wsp:val=&quot;00B63B15&quot;/&gt;&lt;wsp:rsid wsp:val=&quot;00B63CD1&quot;/&gt;&lt;wsp:rsid wsp:val=&quot;00B65610&quot;/&gt;&lt;wsp:rsid wsp:val=&quot;00B65773&quot;/&gt;&lt;wsp:rsid wsp:val=&quot;00B661EA&quot;/&gt;&lt;wsp:rsid wsp:val=&quot;00B6678A&quot;/&gt;&lt;wsp:rsid wsp:val=&quot;00B74FEE&quot;/&gt;&lt;wsp:rsid wsp:val=&quot;00B753BB&quot;/&gt;&lt;wsp:rsid wsp:val=&quot;00B75A8D&quot;/&gt;&lt;wsp:rsid wsp:val=&quot;00B82B44&quot;/&gt;&lt;wsp:rsid wsp:val=&quot;00B86637&quot;/&gt;&lt;wsp:rsid wsp:val=&quot;00B925C7&quot;/&gt;&lt;wsp:rsid wsp:val=&quot;00B93C23&quot;/&gt;&lt;wsp:rsid wsp:val=&quot;00B94BCE&quot;/&gt;&lt;wsp:rsid wsp:val=&quot;00B955AD&quot;/&gt;&lt;wsp:rsid wsp:val=&quot;00B95901&quot;/&gt;&lt;wsp:rsid wsp:val=&quot;00B96292&quot;/&gt;&lt;wsp:rsid wsp:val=&quot;00B973AC&quot;/&gt;&lt;wsp:rsid wsp:val=&quot;00B979D7&quot;/&gt;&lt;wsp:rsid wsp:val=&quot;00BA0785&quot;/&gt;&lt;wsp:rsid wsp:val=&quot;00BA3415&quot;/&gt;&lt;wsp:rsid wsp:val=&quot;00BA3CBC&quot;/&gt;&lt;wsp:rsid wsp:val=&quot;00BB0339&quot;/&gt;&lt;wsp:rsid wsp:val=&quot;00BB34FF&quot;/&gt;&lt;wsp:rsid wsp:val=&quot;00BB4286&quot;/&gt;&lt;wsp:rsid wsp:val=&quot;00BB629E&quot;/&gt;&lt;wsp:rsid wsp:val=&quot;00BB7930&quot;/&gt;&lt;wsp:rsid wsp:val=&quot;00BC2A7E&quot;/&gt;&lt;wsp:rsid wsp:val=&quot;00BC2AE4&quot;/&gt;&lt;wsp:rsid wsp:val=&quot;00BC40C3&quot;/&gt;&lt;wsp:rsid wsp:val=&quot;00BD00AB&quot;/&gt;&lt;wsp:rsid wsp:val=&quot;00BD1503&quot;/&gt;&lt;wsp:rsid wsp:val=&quot;00BD32C0&quot;/&gt;&lt;wsp:rsid wsp:val=&quot;00BD59F9&quot;/&gt;&lt;wsp:rsid wsp:val=&quot;00BD70D9&quot;/&gt;&lt;wsp:rsid wsp:val=&quot;00BD7E84&quot;/&gt;&lt;wsp:rsid wsp:val=&quot;00BE0C8F&quot;/&gt;&lt;wsp:rsid wsp:val=&quot;00BE0DED&quot;/&gt;&lt;wsp:rsid wsp:val=&quot;00BE1F61&quot;/&gt;&lt;wsp:rsid wsp:val=&quot;00BE2D24&quot;/&gt;&lt;wsp:rsid wsp:val=&quot;00BE4889&quot;/&gt;&lt;wsp:rsid wsp:val=&quot;00BE69F0&quot;/&gt;&lt;wsp:rsid wsp:val=&quot;00BE70E7&quot;/&gt;&lt;wsp:rsid wsp:val=&quot;00BF07C1&quot;/&gt;&lt;wsp:rsid wsp:val=&quot;00BF3CD0&quot;/&gt;&lt;wsp:rsid wsp:val=&quot;00BF532F&quot;/&gt;&lt;wsp:rsid wsp:val=&quot;00BF542C&quot;/&gt;&lt;wsp:rsid wsp:val=&quot;00BF68FB&quot;/&gt;&lt;wsp:rsid wsp:val=&quot;00BF7C2E&quot;/&gt;&lt;wsp:rsid wsp:val=&quot;00C045EC&quot;/&gt;&lt;wsp:rsid wsp:val=&quot;00C058D6&quot;/&gt;&lt;wsp:rsid wsp:val=&quot;00C05B16&quot;/&gt;&lt;wsp:rsid wsp:val=&quot;00C10B36&quot;/&gt;&lt;wsp:rsid wsp:val=&quot;00C135FD&quot;/&gt;&lt;wsp:rsid wsp:val=&quot;00C13DFC&quot;/&gt;&lt;wsp:rsid wsp:val=&quot;00C1604C&quot;/&gt;&lt;wsp:rsid wsp:val=&quot;00C217B8&quot;/&gt;&lt;wsp:rsid wsp:val=&quot;00C22343&quot;/&gt;&lt;wsp:rsid wsp:val=&quot;00C22F42&quot;/&gt;&lt;wsp:rsid wsp:val=&quot;00C232AD&quot;/&gt;&lt;wsp:rsid wsp:val=&quot;00C2332A&quot;/&gt;&lt;wsp:rsid wsp:val=&quot;00C264EC&quot;/&gt;&lt;wsp:rsid wsp:val=&quot;00C27903&quot;/&gt;&lt;wsp:rsid wsp:val=&quot;00C2794D&quot;/&gt;&lt;wsp:rsid wsp:val=&quot;00C3140F&quot;/&gt;&lt;wsp:rsid wsp:val=&quot;00C31535&quot;/&gt;&lt;wsp:rsid wsp:val=&quot;00C31C7C&quot;/&gt;&lt;wsp:rsid wsp:val=&quot;00C32CE9&quot;/&gt;&lt;wsp:rsid wsp:val=&quot;00C3530E&quot;/&gt;&lt;wsp:rsid wsp:val=&quot;00C35360&quot;/&gt;&lt;wsp:rsid wsp:val=&quot;00C452F6&quot;/&gt;&lt;wsp:rsid wsp:val=&quot;00C45920&quot;/&gt;&lt;wsp:rsid wsp:val=&quot;00C47DA9&quot;/&gt;&lt;wsp:rsid wsp:val=&quot;00C50AF3&quot;/&gt;&lt;wsp:rsid wsp:val=&quot;00C50CDD&quot;/&gt;&lt;wsp:rsid wsp:val=&quot;00C52E7C&quot;/&gt;&lt;wsp:rsid wsp:val=&quot;00C5327B&quot;/&gt;&lt;wsp:rsid wsp:val=&quot;00C53D99&quot;/&gt;&lt;wsp:rsid wsp:val=&quot;00C554D3&quot;/&gt;&lt;wsp:rsid wsp:val=&quot;00C57082&quot;/&gt;&lt;wsp:rsid wsp:val=&quot;00C60E9B&quot;/&gt;&lt;wsp:rsid wsp:val=&quot;00C61134&quot;/&gt;&lt;wsp:rsid wsp:val=&quot;00C6146D&quot;/&gt;&lt;wsp:rsid wsp:val=&quot;00C63B12&quot;/&gt;&lt;wsp:rsid wsp:val=&quot;00C703C5&quot;/&gt;&lt;wsp:rsid wsp:val=&quot;00C7055F&quot;/&gt;&lt;wsp:rsid wsp:val=&quot;00C70842&quot;/&gt;&lt;wsp:rsid wsp:val=&quot;00C7531E&quot;/&gt;&lt;wsp:rsid wsp:val=&quot;00C832E0&quot;/&gt;&lt;wsp:rsid wsp:val=&quot;00C835C2&quot;/&gt;&lt;wsp:rsid wsp:val=&quot;00C856FA&quot;/&gt;&lt;wsp:rsid wsp:val=&quot;00C87457&quot;/&gt;&lt;wsp:rsid wsp:val=&quot;00C908AF&quot;/&gt;&lt;wsp:rsid wsp:val=&quot;00C912D0&quot;/&gt;&lt;wsp:rsid wsp:val=&quot;00C91694&quot;/&gt;&lt;wsp:rsid wsp:val=&quot;00C91CDE&quot;/&gt;&lt;wsp:rsid wsp:val=&quot;00C935BB&quot;/&gt;&lt;wsp:rsid wsp:val=&quot;00C93D2A&quot;/&gt;&lt;wsp:rsid wsp:val=&quot;00C96AD3&quot;/&gt;&lt;wsp:rsid wsp:val=&quot;00CA003F&quot;/&gt;&lt;wsp:rsid wsp:val=&quot;00CA12D0&quot;/&gt;&lt;wsp:rsid wsp:val=&quot;00CA15A6&quot;/&gt;&lt;wsp:rsid wsp:val=&quot;00CA2D78&quot;/&gt;&lt;wsp:rsid wsp:val=&quot;00CA325D&quot;/&gt;&lt;wsp:rsid wsp:val=&quot;00CA362D&quot;/&gt;&lt;wsp:rsid wsp:val=&quot;00CA3DB4&quot;/&gt;&lt;wsp:rsid wsp:val=&quot;00CA49FD&quot;/&gt;&lt;wsp:rsid wsp:val=&quot;00CA79D4&quot;/&gt;&lt;wsp:rsid wsp:val=&quot;00CB0CD4&quot;/&gt;&lt;wsp:rsid wsp:val=&quot;00CB2D16&quot;/&gt;&lt;wsp:rsid wsp:val=&quot;00CB317D&quot;/&gt;&lt;wsp:rsid wsp:val=&quot;00CB739A&quot;/&gt;&lt;wsp:rsid wsp:val=&quot;00CB7FFC&quot;/&gt;&lt;wsp:rsid wsp:val=&quot;00CC0DB7&quot;/&gt;&lt;wsp:rsid wsp:val=&quot;00CC2191&quot;/&gt;&lt;wsp:rsid wsp:val=&quot;00CC3C9D&quot;/&gt;&lt;wsp:rsid wsp:val=&quot;00CC4265&quot;/&gt;&lt;wsp:rsid wsp:val=&quot;00CC7D97&quot;/&gt;&lt;wsp:rsid wsp:val=&quot;00CD0F3A&quot;/&gt;&lt;wsp:rsid wsp:val=&quot;00CD10B9&quot;/&gt;&lt;wsp:rsid wsp:val=&quot;00CD28AD&quot;/&gt;&lt;wsp:rsid wsp:val=&quot;00CD4ABD&quot;/&gt;&lt;wsp:rsid wsp:val=&quot;00CD4C76&quot;/&gt;&lt;wsp:rsid wsp:val=&quot;00CD50A7&quot;/&gt;&lt;wsp:rsid wsp:val=&quot;00CD615D&quot;/&gt;&lt;wsp:rsid wsp:val=&quot;00CD6640&quot;/&gt;&lt;wsp:rsid wsp:val=&quot;00CE019F&quot;/&gt;&lt;wsp:rsid wsp:val=&quot;00CE0C16&quot;/&gt;&lt;wsp:rsid wsp:val=&quot;00CE5BC5&quot;/&gt;&lt;wsp:rsid wsp:val=&quot;00CE7813&quot;/&gt;&lt;wsp:rsid wsp:val=&quot;00CF0336&quot;/&gt;&lt;wsp:rsid wsp:val=&quot;00CF1377&quot;/&gt;&lt;wsp:rsid wsp:val=&quot;00CF19F7&quot;/&gt;&lt;wsp:rsid wsp:val=&quot;00CF4793&quot;/&gt;&lt;wsp:rsid wsp:val=&quot;00CF6A49&quot;/&gt;&lt;wsp:rsid wsp:val=&quot;00CF6C91&quot;/&gt;&lt;wsp:rsid wsp:val=&quot;00D00521&quot;/&gt;&lt;wsp:rsid wsp:val=&quot;00D00929&quot;/&gt;&lt;wsp:rsid wsp:val=&quot;00D01231&quot;/&gt;&lt;wsp:rsid wsp:val=&quot;00D019A7&quot;/&gt;&lt;wsp:rsid wsp:val=&quot;00D02433&quot;/&gt;&lt;wsp:rsid wsp:val=&quot;00D0293B&quot;/&gt;&lt;wsp:rsid wsp:val=&quot;00D02FC7&quot;/&gt;&lt;wsp:rsid wsp:val=&quot;00D03952&quot;/&gt;&lt;wsp:rsid wsp:val=&quot;00D03BD8&quot;/&gt;&lt;wsp:rsid wsp:val=&quot;00D0627A&quot;/&gt;&lt;wsp:rsid wsp:val=&quot;00D07A5D&quot;/&gt;&lt;wsp:rsid wsp:val=&quot;00D11138&quot;/&gt;&lt;wsp:rsid wsp:val=&quot;00D12527&quot;/&gt;&lt;wsp:rsid wsp:val=&quot;00D134C0&quot;/&gt;&lt;wsp:rsid wsp:val=&quot;00D14649&quot;/&gt;&lt;wsp:rsid wsp:val=&quot;00D14F9B&quot;/&gt;&lt;wsp:rsid wsp:val=&quot;00D15178&quot;/&gt;&lt;wsp:rsid wsp:val=&quot;00D20B6C&quot;/&gt;&lt;wsp:rsid wsp:val=&quot;00D219F3&quot;/&gt;&lt;wsp:rsid wsp:val=&quot;00D23461&quot;/&gt;&lt;wsp:rsid wsp:val=&quot;00D26E42&quot;/&gt;&lt;wsp:rsid wsp:val=&quot;00D2790E&quot;/&gt;&lt;wsp:rsid wsp:val=&quot;00D30ABE&quot;/&gt;&lt;wsp:rsid wsp:val=&quot;00D30ED7&quot;/&gt;&lt;wsp:rsid wsp:val=&quot;00D31A65&quot;/&gt;&lt;wsp:rsid wsp:val=&quot;00D33872&quot;/&gt;&lt;wsp:rsid wsp:val=&quot;00D34D05&quot;/&gt;&lt;wsp:rsid wsp:val=&quot;00D356C5&quot;/&gt;&lt;wsp:rsid wsp:val=&quot;00D364F0&quot;/&gt;&lt;wsp:rsid wsp:val=&quot;00D36596&quot;/&gt;&lt;wsp:rsid wsp:val=&quot;00D3716C&quot;/&gt;&lt;wsp:rsid wsp:val=&quot;00D41F22&quot;/&gt;&lt;wsp:rsid wsp:val=&quot;00D42404&quot;/&gt;&lt;wsp:rsid wsp:val=&quot;00D425E7&quot;/&gt;&lt;wsp:rsid wsp:val=&quot;00D42E47&quot;/&gt;&lt;wsp:rsid wsp:val=&quot;00D465B4&quot;/&gt;&lt;wsp:rsid wsp:val=&quot;00D51592&quot;/&gt;&lt;wsp:rsid wsp:val=&quot;00D51860&quot;/&gt;&lt;wsp:rsid wsp:val=&quot;00D551CA&quot;/&gt;&lt;wsp:rsid wsp:val=&quot;00D5695B&quot;/&gt;&lt;wsp:rsid wsp:val=&quot;00D56996&quot;/&gt;&lt;wsp:rsid wsp:val=&quot;00D60F86&quot;/&gt;&lt;wsp:rsid wsp:val=&quot;00D613FA&quot;/&gt;&lt;wsp:rsid wsp:val=&quot;00D62527&quot;/&gt;&lt;wsp:rsid wsp:val=&quot;00D62A47&quot;/&gt;&lt;wsp:rsid wsp:val=&quot;00D650F5&quot;/&gt;&lt;wsp:rsid wsp:val=&quot;00D65CEB&quot;/&gt;&lt;wsp:rsid wsp:val=&quot;00D65D4F&quot;/&gt;&lt;wsp:rsid wsp:val=&quot;00D665BA&quot;/&gt;&lt;wsp:rsid wsp:val=&quot;00D667C4&quot;/&gt;&lt;wsp:rsid wsp:val=&quot;00D6726F&quot;/&gt;&lt;wsp:rsid wsp:val=&quot;00D737C5&quot;/&gt;&lt;wsp:rsid wsp:val=&quot;00D737DB&quot;/&gt;&lt;wsp:rsid wsp:val=&quot;00D74678&quot;/&gt;&lt;wsp:rsid wsp:val=&quot;00D7469B&quot;/&gt;&lt;wsp:rsid wsp:val=&quot;00D76304&quot;/&gt;&lt;wsp:rsid wsp:val=&quot;00D84909&quot;/&gt;&lt;wsp:rsid wsp:val=&quot;00D84FAA&quot;/&gt;&lt;wsp:rsid wsp:val=&quot;00D872E9&quot;/&gt;&lt;wsp:rsid wsp:val=&quot;00D87A8D&quot;/&gt;&lt;wsp:rsid wsp:val=&quot;00D87CD0&quot;/&gt;&lt;wsp:rsid wsp:val=&quot;00D90E48&quot;/&gt;&lt;wsp:rsid wsp:val=&quot;00D913A6&quot;/&gt;&lt;wsp:rsid wsp:val=&quot;00D942F3&quot;/&gt;&lt;wsp:rsid wsp:val=&quot;00D966E5&quot;/&gt;&lt;wsp:rsid wsp:val=&quot;00D97401&quot;/&gt;&lt;wsp:rsid wsp:val=&quot;00DA064C&quot;/&gt;&lt;wsp:rsid wsp:val=&quot;00DA07F5&quot;/&gt;&lt;wsp:rsid wsp:val=&quot;00DA1696&quot;/&gt;&lt;wsp:rsid wsp:val=&quot;00DA1700&quot;/&gt;&lt;wsp:rsid wsp:val=&quot;00DA3F3F&quot;/&gt;&lt;wsp:rsid wsp:val=&quot;00DA4C2E&quot;/&gt;&lt;wsp:rsid wsp:val=&quot;00DA4D1C&quot;/&gt;&lt;wsp:rsid wsp:val=&quot;00DA6297&quot;/&gt;&lt;wsp:rsid wsp:val=&quot;00DA68FD&quot;/&gt;&lt;wsp:rsid wsp:val=&quot;00DA6E64&quot;/&gt;&lt;wsp:rsid wsp:val=&quot;00DB20D4&quot;/&gt;&lt;wsp:rsid wsp:val=&quot;00DB2F5D&quot;/&gt;&lt;wsp:rsid wsp:val=&quot;00DB4915&quot;/&gt;&lt;wsp:rsid wsp:val=&quot;00DB58B3&quot;/&gt;&lt;wsp:rsid wsp:val=&quot;00DB660F&quot;/&gt;&lt;wsp:rsid wsp:val=&quot;00DC0261&quot;/&gt;&lt;wsp:rsid wsp:val=&quot;00DC0296&quot;/&gt;&lt;wsp:rsid wsp:val=&quot;00DC3446&quot;/&gt;&lt;wsp:rsid wsp:val=&quot;00DC3555&quot;/&gt;&lt;wsp:rsid wsp:val=&quot;00DC6BF2&quot;/&gt;&lt;wsp:rsid wsp:val=&quot;00DC6F6F&quot;/&gt;&lt;wsp:rsid wsp:val=&quot;00DD10C1&quot;/&gt;&lt;wsp:rsid wsp:val=&quot;00DD12AB&quot;/&gt;&lt;wsp:rsid wsp:val=&quot;00DD12BD&quot;/&gt;&lt;wsp:rsid wsp:val=&quot;00DD133A&quot;/&gt;&lt;wsp:rsid wsp:val=&quot;00DD4073&quot;/&gt;&lt;wsp:rsid wsp:val=&quot;00DD442D&quot;/&gt;&lt;wsp:rsid wsp:val=&quot;00DD4967&quot;/&gt;&lt;wsp:rsid wsp:val=&quot;00DD53DD&quot;/&gt;&lt;wsp:rsid wsp:val=&quot;00DD75A9&quot;/&gt;&lt;wsp:rsid wsp:val=&quot;00DD7BB3&quot;/&gt;&lt;wsp:rsid wsp:val=&quot;00DD7F15&quot;/&gt;&lt;wsp:rsid wsp:val=&quot;00DE1E1B&quot;/&gt;&lt;wsp:rsid wsp:val=&quot;00DE317F&quot;/&gt;&lt;wsp:rsid wsp:val=&quot;00DE3E30&quot;/&gt;&lt;wsp:rsid wsp:val=&quot;00DE4BEC&quot;/&gt;&lt;wsp:rsid wsp:val=&quot;00DE4C1F&quot;/&gt;&lt;wsp:rsid wsp:val=&quot;00DE5AB4&quot;/&gt;&lt;wsp:rsid wsp:val=&quot;00DE6151&quot;/&gt;&lt;wsp:rsid wsp:val=&quot;00DE620A&quot;/&gt;&lt;wsp:rsid wsp:val=&quot;00DF0259&quot;/&gt;&lt;wsp:rsid wsp:val=&quot;00DF0324&quot;/&gt;&lt;wsp:rsid wsp:val=&quot;00DF1498&quot;/&gt;&lt;wsp:rsid wsp:val=&quot;00DF2702&quot;/&gt;&lt;wsp:rsid wsp:val=&quot;00DF6717&quot;/&gt;&lt;wsp:rsid wsp:val=&quot;00E00782&quot;/&gt;&lt;wsp:rsid wsp:val=&quot;00E00E6F&quot;/&gt;&lt;wsp:rsid wsp:val=&quot;00E0108A&quot;/&gt;&lt;wsp:rsid wsp:val=&quot;00E03F72&quot;/&gt;&lt;wsp:rsid wsp:val=&quot;00E0445F&quot;/&gt;&lt;wsp:rsid wsp:val=&quot;00E05582&quot;/&gt;&lt;wsp:rsid wsp:val=&quot;00E06AD1&quot;/&gt;&lt;wsp:rsid wsp:val=&quot;00E0701D&quot;/&gt;&lt;wsp:rsid wsp:val=&quot;00E077C8&quot;/&gt;&lt;wsp:rsid wsp:val=&quot;00E0787D&quot;/&gt;&lt;wsp:rsid wsp:val=&quot;00E10880&quot;/&gt;&lt;wsp:rsid wsp:val=&quot;00E1124C&quot;/&gt;&lt;wsp:rsid wsp:val=&quot;00E12C06&quot;/&gt;&lt;wsp:rsid wsp:val=&quot;00E1303E&quot;/&gt;&lt;wsp:rsid wsp:val=&quot;00E141FD&quot;/&gt;&lt;wsp:rsid wsp:val=&quot;00E14B87&quot;/&gt;&lt;wsp:rsid wsp:val=&quot;00E159B5&quot;/&gt;&lt;wsp:rsid wsp:val=&quot;00E17528&quot;/&gt;&lt;wsp:rsid wsp:val=&quot;00E2049D&quot;/&gt;&lt;wsp:rsid wsp:val=&quot;00E22C1F&quot;/&gt;&lt;wsp:rsid wsp:val=&quot;00E2487E&quot;/&gt;&lt;wsp:rsid wsp:val=&quot;00E26792&quot;/&gt;&lt;wsp:rsid wsp:val=&quot;00E270CE&quot;/&gt;&lt;wsp:rsid wsp:val=&quot;00E31A93&quot;/&gt;&lt;wsp:rsid wsp:val=&quot;00E31E5B&quot;/&gt;&lt;wsp:rsid wsp:val=&quot;00E31EC0&quot;/&gt;&lt;wsp:rsid wsp:val=&quot;00E32105&quot;/&gt;&lt;wsp:rsid wsp:val=&quot;00E32B93&quot;/&gt;&lt;wsp:rsid wsp:val=&quot;00E3307B&quot;/&gt;&lt;wsp:rsid wsp:val=&quot;00E371CA&quot;/&gt;&lt;wsp:rsid wsp:val=&quot;00E421C8&quot;/&gt;&lt;wsp:rsid wsp:val=&quot;00E42266&quot;/&gt;&lt;wsp:rsid wsp:val=&quot;00E43A83&quot;/&gt;&lt;wsp:rsid wsp:val=&quot;00E43BBA&quot;/&gt;&lt;wsp:rsid wsp:val=&quot;00E440BF&quot;/&gt;&lt;wsp:rsid wsp:val=&quot;00E47816&quot;/&gt;&lt;wsp:rsid wsp:val=&quot;00E47993&quot;/&gt;&lt;wsp:rsid wsp:val=&quot;00E47C80&quot;/&gt;&lt;wsp:rsid wsp:val=&quot;00E501FE&quot;/&gt;&lt;wsp:rsid wsp:val=&quot;00E519EC&quot;/&gt;&lt;wsp:rsid wsp:val=&quot;00E55475&quot;/&gt;&lt;wsp:rsid wsp:val=&quot;00E561DC&quot;/&gt;&lt;wsp:rsid wsp:val=&quot;00E5784D&quot;/&gt;&lt;wsp:rsid wsp:val=&quot;00E60D95&quot;/&gt;&lt;wsp:rsid wsp:val=&quot;00E61FA8&quot;/&gt;&lt;wsp:rsid wsp:val=&quot;00E65A4E&quot;/&gt;&lt;wsp:rsid wsp:val=&quot;00E67344&quot;/&gt;&lt;wsp:rsid wsp:val=&quot;00E677EA&quot;/&gt;&lt;wsp:rsid wsp:val=&quot;00E707CA&quot;/&gt;&lt;wsp:rsid wsp:val=&quot;00E71E97&quot;/&gt;&lt;wsp:rsid wsp:val=&quot;00E74640&quot;/&gt;&lt;wsp:rsid wsp:val=&quot;00E74E10&quot;/&gt;&lt;wsp:rsid wsp:val=&quot;00E752EF&quot;/&gt;&lt;wsp:rsid wsp:val=&quot;00E75477&quot;/&gt;&lt;wsp:rsid wsp:val=&quot;00E7573C&quot;/&gt;&lt;wsp:rsid wsp:val=&quot;00E768FB&quot;/&gt;&lt;wsp:rsid wsp:val=&quot;00E818DB&quot;/&gt;&lt;wsp:rsid wsp:val=&quot;00E81B34&quot;/&gt;&lt;wsp:rsid wsp:val=&quot;00E82DFE&quot;/&gt;&lt;wsp:rsid wsp:val=&quot;00E83256&quot;/&gt;&lt;wsp:rsid wsp:val=&quot;00E838DB&quot;/&gt;&lt;wsp:rsid wsp:val=&quot;00E83A42&quot;/&gt;&lt;wsp:rsid wsp:val=&quot;00E84501&quot;/&gt;&lt;wsp:rsid wsp:val=&quot;00E84D43&quot;/&gt;&lt;wsp:rsid wsp:val=&quot;00E90CDB&quot;/&gt;&lt;wsp:rsid wsp:val=&quot;00E927A1&quot;/&gt;&lt;wsp:rsid wsp:val=&quot;00E9525C&quot;/&gt;&lt;wsp:rsid wsp:val=&quot;00E97B06&quot;/&gt;&lt;wsp:rsid wsp:val=&quot;00E97D8D&quot;/&gt;&lt;wsp:rsid wsp:val=&quot;00EA438E&quot;/&gt;&lt;wsp:rsid wsp:val=&quot;00EA45B3&quot;/&gt;&lt;wsp:rsid wsp:val=&quot;00EA4E51&quot;/&gt;&lt;wsp:rsid wsp:val=&quot;00EA547B&quot;/&gt;&lt;wsp:rsid wsp:val=&quot;00EA64C7&quot;/&gt;&lt;wsp:rsid wsp:val=&quot;00EA79CE&quot;/&gt;&lt;wsp:rsid wsp:val=&quot;00EB110C&quot;/&gt;&lt;wsp:rsid wsp:val=&quot;00EB3226&quot;/&gt;&lt;wsp:rsid wsp:val=&quot;00EB5E51&quot;/&gt;&lt;wsp:rsid wsp:val=&quot;00EB7F5E&quot;/&gt;&lt;wsp:rsid wsp:val=&quot;00EC3640&quot;/&gt;&lt;wsp:rsid wsp:val=&quot;00EC4D50&quot;/&gt;&lt;wsp:rsid wsp:val=&quot;00EC4EB1&quot;/&gt;&lt;wsp:rsid wsp:val=&quot;00EC52F1&quot;/&gt;&lt;wsp:rsid wsp:val=&quot;00EC5BCE&quot;/&gt;&lt;wsp:rsid wsp:val=&quot;00EC64BB&quot;/&gt;&lt;wsp:rsid wsp:val=&quot;00ED0193&quot;/&gt;&lt;wsp:rsid wsp:val=&quot;00ED0269&quot;/&gt;&lt;wsp:rsid wsp:val=&quot;00ED119B&quot;/&gt;&lt;wsp:rsid wsp:val=&quot;00ED18CC&quot;/&gt;&lt;wsp:rsid wsp:val=&quot;00ED6DA6&quot;/&gt;&lt;wsp:rsid wsp:val=&quot;00ED6F9B&quot;/&gt;&lt;wsp:rsid wsp:val=&quot;00EE02B9&quot;/&gt;&lt;wsp:rsid wsp:val=&quot;00EE48CF&quot;/&gt;&lt;wsp:rsid wsp:val=&quot;00EE5E65&quot;/&gt;&lt;wsp:rsid wsp:val=&quot;00EE6431&quot;/&gt;&lt;wsp:rsid wsp:val=&quot;00EF1179&quot;/&gt;&lt;wsp:rsid wsp:val=&quot;00EF3591&quot;/&gt;&lt;wsp:rsid wsp:val=&quot;00EF5592&quot;/&gt;&lt;wsp:rsid wsp:val=&quot;00EF79D4&quot;/&gt;&lt;wsp:rsid wsp:val=&quot;00F04446&quot;/&gt;&lt;wsp:rsid wsp:val=&quot;00F05043&quot;/&gt;&lt;wsp:rsid wsp:val=&quot;00F0679A&quot;/&gt;&lt;wsp:rsid wsp:val=&quot;00F068D4&quot;/&gt;&lt;wsp:rsid wsp:val=&quot;00F079C1&quot;/&gt;&lt;wsp:rsid wsp:val=&quot;00F154A4&quot;/&gt;&lt;wsp:rsid wsp:val=&quot;00F17282&quot;/&gt;&lt;wsp:rsid wsp:val=&quot;00F21513&quot;/&gt;&lt;wsp:rsid wsp:val=&quot;00F226BF&quot;/&gt;&lt;wsp:rsid wsp:val=&quot;00F24C0A&quot;/&gt;&lt;wsp:rsid wsp:val=&quot;00F24D5E&quot;/&gt;&lt;wsp:rsid wsp:val=&quot;00F24F77&quot;/&gt;&lt;wsp:rsid wsp:val=&quot;00F256C6&quot;/&gt;&lt;wsp:rsid wsp:val=&quot;00F25AA6&quot;/&gt;&lt;wsp:rsid wsp:val=&quot;00F27C41&quot;/&gt;&lt;wsp:rsid wsp:val=&quot;00F3107E&quot;/&gt;&lt;wsp:rsid wsp:val=&quot;00F33A51&quot;/&gt;&lt;wsp:rsid wsp:val=&quot;00F345DA&quot;/&gt;&lt;wsp:rsid wsp:val=&quot;00F34A3B&quot;/&gt;&lt;wsp:rsid wsp:val=&quot;00F34F6B&quot;/&gt;&lt;wsp:rsid wsp:val=&quot;00F3755F&quot;/&gt;&lt;wsp:rsid wsp:val=&quot;00F37936&quot;/&gt;&lt;wsp:rsid wsp:val=&quot;00F41721&quot;/&gt;&lt;wsp:rsid wsp:val=&quot;00F43373&quot;/&gt;&lt;wsp:rsid wsp:val=&quot;00F43712&quot;/&gt;&lt;wsp:rsid wsp:val=&quot;00F452C1&quot;/&gt;&lt;wsp:rsid wsp:val=&quot;00F470E9&quot;/&gt;&lt;wsp:rsid wsp:val=&quot;00F509B2&quot;/&gt;&lt;wsp:rsid wsp:val=&quot;00F50E50&quot;/&gt;&lt;wsp:rsid wsp:val=&quot;00F54533&quot;/&gt;&lt;wsp:rsid wsp:val=&quot;00F54898&quot;/&gt;&lt;wsp:rsid wsp:val=&quot;00F568DF&quot;/&gt;&lt;wsp:rsid wsp:val=&quot;00F56B66&quot;/&gt;&lt;wsp:rsid wsp:val=&quot;00F57250&quot;/&gt;&lt;wsp:rsid wsp:val=&quot;00F6117F&quot;/&gt;&lt;wsp:rsid wsp:val=&quot;00F6139E&quot;/&gt;&lt;wsp:rsid wsp:val=&quot;00F6544A&quot;/&gt;&lt;wsp:rsid wsp:val=&quot;00F67B52&quot;/&gt;&lt;wsp:rsid wsp:val=&quot;00F70FE9&quot;/&gt;&lt;wsp:rsid wsp:val=&quot;00F71CE1&quot;/&gt;&lt;wsp:rsid wsp:val=&quot;00F721A9&quot;/&gt;&lt;wsp:rsid wsp:val=&quot;00F72ED5&quot;/&gt;&lt;wsp:rsid wsp:val=&quot;00F749C9&quot;/&gt;&lt;wsp:rsid wsp:val=&quot;00F75D5E&quot;/&gt;&lt;wsp:rsid wsp:val=&quot;00F75E41&quot;/&gt;&lt;wsp:rsid wsp:val=&quot;00F77AA5&quot;/&gt;&lt;wsp:rsid wsp:val=&quot;00F80DBB&quot;/&gt;&lt;wsp:rsid wsp:val=&quot;00F818A1&quot;/&gt;&lt;wsp:rsid wsp:val=&quot;00F831A0&quot;/&gt;&lt;wsp:rsid wsp:val=&quot;00F85697&quot;/&gt;&lt;wsp:rsid wsp:val=&quot;00F85BAF&quot;/&gt;&lt;wsp:rsid wsp:val=&quot;00F92901&quot;/&gt;&lt;wsp:rsid wsp:val=&quot;00F93980&quot;/&gt;&lt;wsp:rsid wsp:val=&quot;00F945D3&quot;/&gt;&lt;wsp:rsid wsp:val=&quot;00F9601A&quot;/&gt;&lt;wsp:rsid wsp:val=&quot;00F9775A&quot;/&gt;&lt;wsp:rsid wsp:val=&quot;00FA0F84&quot;/&gt;&lt;wsp:rsid wsp:val=&quot;00FA2093&quot;/&gt;&lt;wsp:rsid wsp:val=&quot;00FA6AFB&quot;/&gt;&lt;wsp:rsid wsp:val=&quot;00FA7FAD&quot;/&gt;&lt;wsp:rsid wsp:val=&quot;00FB0A9B&quot;/&gt;&lt;wsp:rsid wsp:val=&quot;00FB540C&quot;/&gt;&lt;wsp:rsid wsp:val=&quot;00FB63A9&quot;/&gt;&lt;wsp:rsid wsp:val=&quot;00FB63BF&quot;/&gt;&lt;wsp:rsid wsp:val=&quot;00FC1A1A&quot;/&gt;&lt;wsp:rsid wsp:val=&quot;00FC3204&quot;/&gt;&lt;wsp:rsid wsp:val=&quot;00FC3B69&quot;/&gt;&lt;wsp:rsid wsp:val=&quot;00FC46C0&quot;/&gt;&lt;wsp:rsid wsp:val=&quot;00FC4FC4&quot;/&gt;&lt;wsp:rsid wsp:val=&quot;00FC71D6&quot;/&gt;&lt;wsp:rsid wsp:val=&quot;00FD1429&quot;/&gt;&lt;wsp:rsid wsp:val=&quot;00FD4B99&quot;/&gt;&lt;wsp:rsid wsp:val=&quot;00FD5FCC&quot;/&gt;&lt;wsp:rsid wsp:val=&quot;00FD7E20&quot;/&gt;&lt;wsp:rsid wsp:val=&quot;00FE1697&quot;/&gt;&lt;wsp:rsid wsp:val=&quot;00FE329C&quot;/&gt;&lt;wsp:rsid wsp:val=&quot;00FE3A50&quot;/&gt;&lt;wsp:rsid wsp:val=&quot;00FE410A&quot;/&gt;&lt;wsp:rsid wsp:val=&quot;00FE41B5&quot;/&gt;&lt;wsp:rsid wsp:val=&quot;00FE6D5B&quot;/&gt;&lt;wsp:rsid wsp:val=&quot;00FE7750&quot;/&gt;&lt;wsp:rsid wsp:val=&quot;00FF0DA6&quot;/&gt;&lt;wsp:rsid wsp:val=&quot;00FF0FC1&quot;/&gt;&lt;wsp:rsid wsp:val=&quot;00FF69CD&quot;/&gt;&lt;/wsp:rsids&gt;&lt;/w:docPr&gt;&lt;w:body&gt;&lt;wx:sect&gt;&lt;w:p wsp:rsidR=&quot;00000000&quot; wsp:rsidRDefault=&quot;00090AFD&quot; wsp:rsidP=&quot;00090AFD&quot;&gt;&lt;m:oMathPara&gt;&lt;m:oMath&gt;&lt;m:r&gt;&lt;w:rPr&gt;&lt;w:rFonts w:ascii=&quot;Cambria Math&quot; w:fareast=&quot;妤蜂綋&quot; w:h-ansi=&quot;Cambria Math&quot;/&gt;&lt;wx:font wx:val=&quot;Cambria Math&quot;/&gt;&lt;w:i/&gt;&lt;/w:rPr&gt;&lt;m:t&gt;L&lt;/m:t&gt;&lt;/m:r&gt;&lt;m:d&gt;&lt;m:dPr&gt;&lt;m:ctrlPr&gt;&lt;w:rPr&gt;&lt;w:rFonts w:ascii=&quot;Cambria Math&quot; w:farsidsidsidsidsidsidsidsidsidsidsidsidsidsidsidsidsidsidsidsidsideast=&quot;妤蜂綋&quot; w:h-ansi=&quot;Cambria Math&quot; w:cs=&quot;Times New Roman&quot;/&gt;&lt;wx:font wx:val=&quot;Cambria Math&quot;/&gt;&lt;w:sz-cs w:val=&quot;22&quot;/&gt;&lt;/w:rPr&gt;&lt;/m:ctrlPr&gt;&lt;/m:dPr&gt;&lt;m:e&gt;&lt;m:r&gt;&lt;m:rPr&gt;&lt;m:sty m:val=&quot;p&quot;/&gt;&lt;/m:rPr&gt;&lt;w:rPr&gt;&lt;w:sidrFosidntssid w:sidascsidii=sid&quot;Casidmbrsidia sidMatsidh&quot; sidw:fsidaresidastsid=&quot;?sidシ鋋rsid綋&quot;farsid w:farsidh-afarsidnsifarsid=&quot;Cfarsidambria Math&quot; w:hint=&quot;fareast&quot;/&gt;&lt;wx:font wx:val=&quot;妤蜂綋&quot;/&gt;&lt;/w:rPr&gt;&lt;m:t&gt;鐢熷笀姣?/m:t&gt;&lt;/m:r&gt;&lt;/m:e&gt;&lt;/m:d&gt;&lt;m:r&gt;&lt;m:rPr&gt;&lt;m:srPr&gt;&lt;w:sidty m:v&gt;&lt;w:rFosidal=&quot;p&quot;:rFontssid/&gt;&lt;/m:onts w:sidrPr&gt;&lt;ws w:ascsid:rPr&gt;&lt;:ascii=sidw:rFoncii=&quot;Casidts w:a=&quot;Cambrsidscii=&quot;ambria sidCambriria Matsida Math Math&quot; sid&quot; w:fath&quot; w:fsidreast= w:faresid&quot;妤蜂?w:fareastsid? w:hfareast=&quot;?sid-ansi=&quot;Cst=&quot;妤蜂arsidambria:sid Ma妤蜂綋&quot;farsid:rFosidth&quot;/&gt;&lt;wx:&quot; w:farontssidsidfont wx:v:h-as w:sidfarsidal=&quot;Cambra:ascsidnsifarsidia Mathcii=sid&quot;si=&quot;Cfarsid/&gt;&lt;/=&quot;Casidw:rPr&gt;&lt;m:t&gt;=&lt;/m:ambrsidt&gt;&lt;/m:r&gt;&lt;m:f&gt;&lt;m:ria sidfPr&gt;&lt;m:ctrlPr&gt;&lt;w Matsid:rPr&gt;&lt;w:rFonts wth&quot; sid:ascii=&quot;Cambria  w:fsidMasidth&quot; w:fareast=faresid&quot;?シ浣? w:h-ansiareastsisidd=&quot;Cambria Math&quot; w:cst=sid&quot;?sids=&quot;Times New Romansid&quot;/&gt;蜂arsid&lt;wx:font wx:v=sidal=&quot;Cambrsidia Math&quot;/&gt;&lt;asidw:sz-cs sidw:val=&quot;22&quot;/&gt;rsid&lt;/w:rPrsid&gt;&lt;/m:ctrlPr&gt;&lt; sid/m:fPrsid&gt;&lt;m:num&gt;&lt;m:r&gt;&lt;tsidw:rPrsid&gt;&lt;w:rFonts wsid:as sidcii=&quot;Cambria Maid&quot;?th&quot; w:fafsidreast=&quot;妤蜂綋&quot;isid w:h-ansifaresid=&quot;Cambria =sidMath&quot;/&gt;&lt;wx:font tsidwx:valnsid=&quot;Cambria Math&quot;/&gt;&lt;w:i?sid/&gt;sid&lt;/w:rPr&gt;&lt;m:t&gt;N&lt;/m:t&gt;&lt;/m:r&gt;ssidid&lt;/m:num&gt;&lt;m:den&gt;&lt;m:r&gt;&lt;w:rPsidsidr&gt;&lt;w:rFonts w:ascii=&quot;Csisiddambria Math&quot; w:farsideastsid=sid&quot;妤蜂綋&quot; w:h-anMaid&quot;?si=&quot;CafPrsidas sidmbria Math&quot;/sid&gt;&lt;wx:font rPrsifafsiddwx:val=&quot;sidCambria Math&quot;/&gt;&lt;w:i/&gt;sid&lt;/w:rPsidr&gt;&lt;m:t&gt;X+Y脳0.5&lt;/m:t&gt;&lt;/mtsid:r&gt;sid&gt;&lt;/m:den&gt;&lt;/m:f&gt;&lt;m:r&gt;&lt;w:rPr&gt;&lt;w?ssidsid:rFonts w:ascii=&quot;Cambria MaPsidth&quot; &gt;sidw:fareast=&quot;妤?arsid浣? w:h&quot;Csisid-ansi=w:rPsid&quot;Camid&quot;?bria Math&quot;/&gt;&lt;sid=sidwx:font i=&quot;Cs/sididwx:val=&quot;Cambria Ma sidth&quot;/&gt;&lt;wea&quot;sidstsid:i/&gt;&lt;/w:rPr&gt;&lt;m:t&gt;=&lt;fsid/m:t&gt;Psid&lt;/m:rsidr&gt;&lt;m:f&gt;&lt;m:fPr&gt;&lt;m:ctr&gt;sidlPsidr&gt;&lt;w:rrsidPr&gt;&lt;w:rFonts w:ascii=&quot;sisiddCambria Math&quot; w:fareast=&quot;妤蜂綋&quot; arsidMaPsidw:&lt;w?sidh-ansi=&quot;Cambria Math&quot; d&quot;?w:cs=&quot;Tsidimes N&quot; &gt;sidew Roman&quot;/&gt;&lt;wx:sidfont wx:vasidl=&quot;Cambriasid Math&quot;/&gt;&lt;w:sidi/&gt;&lt;w:sz-cs wsid:val=&quot;22sid&quot;/&gt;&lt;/w:rPrsid&gt;&lt;/m:ctrlPr&gt;&lt;/m:sidfPr&gt;&lt;msid:num&gt;&lt;m:rsid&gt;&lt;w:rPr&gt;&lt;w:rFonts wsid:ascsidii=&quot;Cambsidria Math&quot; w:fareast=&quot;?sid?rsid浣? w:h-andsi=&quot;Cambria Ma?th&quot;/&gt;&lt;wx:foidnt wx:val=&quot;Cadmbria Math&quot;/&gt;d&lt;w:i/&gt;&lt;/w:rPr&gt;&lt;idm:t&gt;N&lt;/m:td&gt;&lt;/m:r&gt;&lt;/m:ndum&gt;&lt;m:den&gt;&lt;m:r&gt;&lt;idw:rPr&gt;&lt;w:rdFonts w:ascdii=&quot;Cambria Maidth&quot; w:fareastd=&quot;妤蜂綋&quot; rsidw:h-ansi=&quot;Ca&lt;msidmbria Math&quot;/&gt;wsid&lt;wx:fobsidnt wfarex:val=&quot;Cambrscsidia Math&quot;/&gt;&lt;w&quot;?sid:i/andMa?&gt;&lt;/w:rPr&gt;&lt;m:t&gt;C脳40%妤?rsid+C脳60%脳0.5&lt;wath&quot;/&gt;dal=&quot;Cadx:foid/m:t&gt;&lt;/m:r&gt;&lt;/m:den&gt;&lt;/m:f&gt;&lt;/m&gt;&lt;/m:nd:oMath&gt;N&lt;/m:td&lt;/m:oMatrPr&gt;&lt;idhPara&gt;&lt;/w:p&gt; w:ascd&lt;w:sectPr wsp:r&gt;&lt;w:rdrsidR=&quot;0000000m:r&gt;&lt;id0&quot;rsid&gt;&lt;w:pgSz w:w=&quot;1224arfareeastd0&quot; w:h=&quot;15840&quot;/&gt;&lt;iabsid Maidw:pgMar w:dMa?top=&quot;1440&quot;wsid w:right=&quot;1800&quot;/and w:bomsidttom=&quot;1440&quot; w:left=&quot;?sid1800&quot; w:header=&quot;720&quot;csid w:footer=&quot;720&quot; w:gutter=&quot;0&quot;/&gt;&lt;w:cols w:spidace=&quot;720&quot;/&gt;&lt;/w:sectPr&gt;&lt;/wx:sect&gt;&lt;/w:body&gt;&lt;/w:wordDocument&gt;">
            <v:path/>
            <v:fill on="f" focussize="0,0"/>
            <v:stroke on="f" joinstyle="miter"/>
            <v:imagedata r:id="rId8" chromakey="#FFFFFF" o:title=""/>
            <o:lock v:ext="edit" aspectratio="t"/>
            <w10:wrap type="none"/>
            <w10:anchorlock/>
          </v:shape>
        </w:pict>
      </w:r>
      <w:r>
        <w:rPr>
          <w:rFonts w:ascii="Times New Roman" w:hAnsi="Times New Roman" w:eastAsia="楷体"/>
          <w:sz w:val="21"/>
          <w:szCs w:val="21"/>
        </w:rPr>
        <w:instrText xml:space="preserve"> </w:instrText>
      </w:r>
      <w:r>
        <w:rPr>
          <w:rFonts w:ascii="Times New Roman" w:hAnsi="Times New Roman" w:eastAsia="楷体"/>
          <w:sz w:val="21"/>
          <w:szCs w:val="21"/>
        </w:rPr>
        <w:fldChar w:fldCharType="separate"/>
      </w:r>
      <w:r>
        <w:rPr>
          <w:position w:val="-23"/>
        </w:rPr>
        <w:pict>
          <v:shape id="_x0000_i1026" o:spt="75" type="#_x0000_t75" style="height:35.25pt;width:201.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40&quot;/&gt;&lt;w:doNotEmbedSystemFonts/&gt;&lt;w:bordersDontSurroundHeader/&gt;&lt;w:bordersDontSurroundFooter/&gt;&lt;w:stylePaneFormatFilter w:val=&quot;3F01&quot;/&gt;&lt;w:defaultTabStop w:val=&quot;0&quot;/&gt;&lt;w:evenAndOddHeaders/&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64F0&quot;/&gt;&lt;wsp:rsid wsp:val=&quot;000025AE&quot;/&gt;&lt;wsp:rsid wsp:val=&quot;00003764&quot;/&gt;&lt;wsp:rsid wsp:val=&quot;000079BC&quot;/&gt;&lt;wsp:rsid wsp:val=&quot;00011ABD&quot;/&gt;&lt;wsp:rsid wsp:val=&quot;000134A7&quot;/&gt;&lt;wsp:rsid wsp:val=&quot;00013C37&quot;/&gt;&lt;wsp:rsid wsp:val=&quot;00014FB2&quot;/&gt;&lt;wsp:rsid wsp:val=&quot;00016090&quot;/&gt;&lt;wsp:rsid wsp:val=&quot;00020B7A&quot;/&gt;&lt;wsp:rsid wsp:val=&quot;00020DD7&quot;/&gt;&lt;wsp:rsid wsp:val=&quot;000225F0&quot;/&gt;&lt;wsp:rsid wsp:val=&quot;00023234&quot;/&gt;&lt;wsp:rsid wsp:val=&quot;00025A72&quot;/&gt;&lt;wsp:rsid wsp:val=&quot;00025E29&quot;/&gt;&lt;wsp:rsid wsp:val=&quot;000270A1&quot;/&gt;&lt;wsp:rsid wsp:val=&quot;0002780E&quot;/&gt;&lt;wsp:rsid wsp:val=&quot;000279D9&quot;/&gt;&lt;wsp:rsid wsp:val=&quot;0003082C&quot;/&gt;&lt;wsp:rsid wsp:val=&quot;00034316&quot;/&gt;&lt;wsp:rsid wsp:val=&quot;000369DA&quot;/&gt;&lt;wsp:rsid wsp:val=&quot;00040B21&quot;/&gt;&lt;wsp:rsid wsp:val=&quot;000410EC&quot;/&gt;&lt;wsp:rsid wsp:val=&quot;00042102&quot;/&gt;&lt;wsp:rsid wsp:val=&quot;00044B38&quot;/&gt;&lt;wsp:rsid wsp:val=&quot;00046822&quot;/&gt;&lt;wsp:rsid wsp:val=&quot;000501C9&quot;/&gt;&lt;wsp:rsid wsp:val=&quot;000531FA&quot;/&gt;&lt;wsp:rsid wsp:val=&quot;000533E0&quot;/&gt;&lt;wsp:rsid wsp:val=&quot;00061494&quot;/&gt;&lt;wsp:rsid wsp:val=&quot;0006213A&quot;/&gt;&lt;wsp:rsid wsp:val=&quot;000709C4&quot;/&gt;&lt;wsp:rsid wsp:val=&quot;00074CB1&quot;/&gt;&lt;wsp:rsid wsp:val=&quot;000756BD&quot;/&gt;&lt;wsp:rsid wsp:val=&quot;00075EE9&quot;/&gt;&lt;wsp:rsid wsp:val=&quot;00077C1F&quot;/&gt;&lt;wsp:rsid wsp:val=&quot;00082BC2&quot;/&gt;&lt;wsp:rsid wsp:val=&quot;00084E56&quot;/&gt;&lt;wsp:rsid wsp:val=&quot;0008691C&quot;/&gt;&lt;wsp:rsid wsp:val=&quot;00086D9E&quot;/&gt;&lt;wsp:rsid wsp:val=&quot;00090AFD&quot;/&gt;&lt;wsp:rsid wsp:val=&quot;00093B95&quot;/&gt;&lt;wsp:rsid wsp:val=&quot;00094514&quot;/&gt;&lt;wsp:rsid wsp:val=&quot;00094676&quot;/&gt;&lt;wsp:rsid wsp:val=&quot;00094C15&quot;/&gt;&lt;wsp:rsid wsp:val=&quot;00095574&quot;/&gt;&lt;wsp:rsid wsp:val=&quot;000A240E&quot;/&gt;&lt;wsp:rsid wsp:val=&quot;000A5799&quot;/&gt;&lt;wsp:rsid wsp:val=&quot;000A640C&quot;/&gt;&lt;wsp:rsid wsp:val=&quot;000A700A&quot;/&gt;&lt;wsp:rsid wsp:val=&quot;000B4A84&quot;/&gt;&lt;wsp:rsid wsp:val=&quot;000B5608&quot;/&gt;&lt;wsp:rsid wsp:val=&quot;000B69AF&quot;/&gt;&lt;wsp:rsid wsp:val=&quot;000B6B25&quot;/&gt;&lt;wsp:rsid wsp:val=&quot;000B7338&quot;/&gt;&lt;wsp:rsid wsp:val=&quot;000B7785&quot;/&gt;&lt;wsp:rsid wsp:val=&quot;000C1A45&quot;/&gt;&lt;wsp:rsid wsp:val=&quot;000C33EE&quot;/&gt;&lt;wsp:rsid wsp:val=&quot;000C3C87&quot;/&gt;&lt;wsp:rsid wsp:val=&quot;000C4C52&quot;/&gt;&lt;wsp:rsid wsp:val=&quot;000C559D&quot;/&gt;&lt;wsp:rsid wsp:val=&quot;000C5E52&quot;/&gt;&lt;wsp:rsid wsp:val=&quot;000C60F9&quot;/&gt;&lt;wsp:rsid wsp:val=&quot;000D0F3C&quot;/&gt;&lt;wsp:rsid wsp:val=&quot;000D3B6F&quot;/&gt;&lt;wsp:rsid wsp:val=&quot;000D6017&quot;/&gt;&lt;wsp:rsid wsp:val=&quot;000D65E2&quot;/&gt;&lt;wsp:rsid wsp:val=&quot;000D66C7&quot;/&gt;&lt;wsp:rsid wsp:val=&quot;000E0A0E&quot;/&gt;&lt;wsp:rsid wsp:val=&quot;000E16F3&quot;/&gt;&lt;wsp:rsid wsp:val=&quot;000E2A0D&quot;/&gt;&lt;wsp:rsid wsp:val=&quot;000E35F5&quot;/&gt;&lt;wsp:rsid wsp:val=&quot;000E3BF6&quot;/&gt;&lt;wsp:rsid wsp:val=&quot;000E4F6B&quot;/&gt;&lt;wsp:rsid wsp:val=&quot;000E68C4&quot;/&gt;&lt;wsp:rsid wsp:val=&quot;000E6C41&quot;/&gt;&lt;wsp:rsid wsp:val=&quot;000E7311&quot;/&gt;&lt;wsp:rsid wsp:val=&quot;000F019E&quot;/&gt;&lt;wsp:rsid wsp:val=&quot;000F29CB&quot;/&gt;&lt;wsp:rsid wsp:val=&quot;000F3FAE&quot;/&gt;&lt;wsp:rsid wsp:val=&quot;000F6515&quot;/&gt;&lt;wsp:rsid wsp:val=&quot;001003B9&quot;/&gt;&lt;wsp:rsid wsp:val=&quot;001009B0&quot;/&gt;&lt;wsp:rsid wsp:val=&quot;00101608&quot;/&gt;&lt;wsp:rsid wsp:val=&quot;00102E3E&quot;/&gt;&lt;wsp:rsid wsp:val=&quot;001033DC&quot;/&gt;&lt;wsp:rsid wsp:val=&quot;00104282&quot;/&gt;&lt;wsp:rsid wsp:val=&quot;00105109&quot;/&gt;&lt;wsp:rsid wsp:val=&quot;00105557&quot;/&gt;&lt;wsp:rsid wsp:val=&quot;00110CEC&quot;/&gt;&lt;wsp:rsid wsp:val=&quot;001120B8&quot;/&gt;&lt;wsp:rsid wsp:val=&quot;0011250B&quot;/&gt;&lt;wsp:rsid wsp:val=&quot;00112762&quot;/&gt;&lt;wsp:rsid wsp:val=&quot;00115277&quot;/&gt;&lt;wsp:rsid wsp:val=&quot;001153D9&quot;/&gt;&lt;wsp:rsid wsp:val=&quot;00115E9A&quot;/&gt;&lt;wsp:rsid wsp:val=&quot;00116965&quot;/&gt;&lt;wsp:rsid wsp:val=&quot;001173C1&quot;/&gt;&lt;wsp:rsid wsp:val=&quot;00117A4B&quot;/&gt;&lt;wsp:rsid wsp:val=&quot;001207A1&quot;/&gt;&lt;wsp:rsid wsp:val=&quot;00120B1F&quot;/&gt;&lt;wsp:rsid wsp:val=&quot;0012164C&quot;/&gt;&lt;wsp:rsid wsp:val=&quot;00124BD2&quot;/&gt;&lt;wsp:rsid wsp:val=&quot;00126DE1&quot;/&gt;&lt;wsp:rsid wsp:val=&quot;00130895&quot;/&gt;&lt;wsp:rsid wsp:val=&quot;00130CAC&quot;/&gt;&lt;wsp:rsid wsp:val=&quot;0013219E&quot;/&gt;&lt;wsp:rsid wsp:val=&quot;00133236&quot;/&gt;&lt;wsp:rsid wsp:val=&quot;00133C04&quot;/&gt;&lt;wsp:rsid wsp:val=&quot;00134828&quot;/&gt;&lt;wsp:rsid wsp:val=&quot;001357BF&quot;/&gt;&lt;wsp:rsid wsp:val=&quot;001370AC&quot;/&gt;&lt;wsp:rsid wsp:val=&quot;0013754A&quot;/&gt;&lt;wsp:rsid wsp:val=&quot;00137A9E&quot;/&gt;&lt;wsp:rsid wsp:val=&quot;00137D16&quot;/&gt;&lt;wsp:rsid wsp:val=&quot;00141F69&quot;/&gt;&lt;wsp:rsid wsp:val=&quot;0014321E&quot;/&gt;&lt;wsp:rsid wsp:val=&quot;00143D11&quot;/&gt;&lt;wsp:rsid wsp:val=&quot;00144CB0&quot;/&gt;&lt;wsp:rsid wsp:val=&quot;00145036&quot;/&gt;&lt;wsp:rsid wsp:val=&quot;001450F2&quot;/&gt;&lt;wsp:rsid wsp:val=&quot;00145A7F&quot;/&gt;&lt;wsp:rsid wsp:val=&quot;00145B14&quot;/&gt;&lt;wsp:rsid wsp:val=&quot;00145BA7&quot;/&gt;&lt;wsp:rsid wsp:val=&quot;001475B9&quot;/&gt;&lt;wsp:rsid wsp:val=&quot;00152A5C&quot;/&gt;&lt;wsp:rsid wsp:val=&quot;001531C6&quot;/&gt;&lt;wsp:rsid wsp:val=&quot;0015349C&quot;/&gt;&lt;wsp:rsid wsp:val=&quot;001565C9&quot;/&gt;&lt;wsp:rsid wsp:val=&quot;001576F7&quot;/&gt;&lt;wsp:rsid wsp:val=&quot;0016208A&quot;/&gt;&lt;wsp:rsid wsp:val=&quot;001620C8&quot;/&gt;&lt;wsp:rsid wsp:val=&quot;00162AE7&quot;/&gt;&lt;wsp:rsid wsp:val=&quot;00165826&quot;/&gt;&lt;wsp:rsid wsp:val=&quot;00167282&quot;/&gt;&lt;wsp:rsid wsp:val=&quot;0016778C&quot;/&gt;&lt;wsp:rsid wsp:val=&quot;00171A7E&quot;/&gt;&lt;wsp:rsid wsp:val=&quot;00171C82&quot;/&gt;&lt;wsp:rsid wsp:val=&quot;00172561&quot;/&gt;&lt;wsp:rsid wsp:val=&quot;00173D49&quot;/&gt;&lt;wsp:rsid wsp:val=&quot;00181336&quot;/&gt;&lt;wsp:rsid wsp:val=&quot;00181F9D&quot;/&gt;&lt;wsp:rsid wsp:val=&quot;001831C4&quot;/&gt;&lt;wsp:rsid wsp:val=&quot;00185599&quot;/&gt;&lt;wsp:rsid wsp:val=&quot;001857BF&quot;/&gt;&lt;wsp:rsid wsp:val=&quot;001865D5&quot;/&gt;&lt;wsp:rsid wsp:val=&quot;00187DBE&quot;/&gt;&lt;wsp:rsid wsp:val=&quot;001918A3&quot;/&gt;&lt;wsp:rsid wsp:val=&quot;001953AB&quot;/&gt;&lt;wsp:rsid wsp:val=&quot;00195430&quot;/&gt;&lt;wsp:rsid wsp:val=&quot;00196626&quot;/&gt;&lt;wsp:rsid wsp:val=&quot;001A2916&quot;/&gt;&lt;wsp:rsid wsp:val=&quot;001A5208&quot;/&gt;&lt;wsp:rsid wsp:val=&quot;001A56E1&quot;/&gt;&lt;wsp:rsid wsp:val=&quot;001A7111&quot;/&gt;&lt;wsp:rsid wsp:val=&quot;001B0735&quot;/&gt;&lt;wsp:rsid wsp:val=&quot;001B40FC&quot;/&gt;&lt;wsp:rsid wsp:val=&quot;001B46B1&quot;/&gt;&lt;wsp:rsid wsp:val=&quot;001B664D&quot;/&gt;&lt;wsp:rsid wsp:val=&quot;001B7D7B&quot;/&gt;&lt;wsp:rsid wsp:val=&quot;001C0F12&quot;/&gt;&lt;wsp:rsid wsp:val=&quot;001C188F&quot;/&gt;&lt;wsp:rsid wsp:val=&quot;001C3971&quot;/&gt;&lt;wsp:rsid wsp:val=&quot;001C541E&quot;/&gt;&lt;wsp:rsid wsp:val=&quot;001C6C4E&quot;/&gt;&lt;wsp:rsid wsp:val=&quot;001C6D47&quot;/&gt;&lt;wsp:rsid wsp:val=&quot;001C7847&quot;/&gt;&lt;wsp:rsid wsp:val=&quot;001C7F84&quot;/&gt;&lt;wsp:rsid wsp:val=&quot;001D5E9A&quot;/&gt;&lt;wsp:rsid wsp:val=&quot;001D74D5&quot;/&gt;&lt;wsp:rsid wsp:val=&quot;001D7FE2&quot;/&gt;&lt;wsp:rsid wsp:val=&quot;001E09E0&quot;/&gt;&lt;wsp:rsid wsp:val=&quot;001E1DEE&quot;/&gt;&lt;wsp:rsid wsp:val=&quot;001E1E03&quot;/&gt;&lt;wsp:rsid wsp:val=&quot;001E2CAB&quot;/&gt;&lt;wsp:rsid wsp:val=&quot;001E37E2&quot;/&gt;&lt;wsp:rsid wsp:val=&quot;001E3EF5&quot;/&gt;&lt;wsp:rsid wsp:val=&quot;001E44B3&quot;/&gt;&lt;wsp:rsid wsp:val=&quot;001E6013&quot;/&gt;&lt;wsp:rsid wsp:val=&quot;001E65F9&quot;/&gt;&lt;wsp:rsid wsp:val=&quot;001E67A6&quot;/&gt;&lt;wsp:rsid wsp:val=&quot;001E6852&quot;/&gt;&lt;wsp:rsid wsp:val=&quot;001E6AEC&quot;/&gt;&lt;wsp:rsid wsp:val=&quot;001E6EFE&quot;/&gt;&lt;wsp:rsid wsp:val=&quot;001E74FE&quot;/&gt;&lt;wsp:rsid wsp:val=&quot;001F1614&quot;/&gt;&lt;wsp:rsid wsp:val=&quot;001F3232&quot;/&gt;&lt;wsp:rsid wsp:val=&quot;001F3A2C&quot;/&gt;&lt;wsp:rsid wsp:val=&quot;001F53C2&quot;/&gt;&lt;wsp:rsid wsp:val=&quot;001F7C6E&quot;/&gt;&lt;wsp:rsid wsp:val=&quot;001F7ED3&quot;/&gt;&lt;wsp:rsid wsp:val=&quot;00203A11&quot;/&gt;&lt;wsp:rsid wsp:val=&quot;00203B8C&quot;/&gt;&lt;wsp:rsid wsp:val=&quot;00203CF4&quot;/&gt;&lt;wsp:rsid wsp:val=&quot;002049EB&quot;/&gt;&lt;wsp:rsid wsp:val=&quot;00206371&quot;/&gt;&lt;wsp:rsid wsp:val=&quot;00212D62&quot;/&gt;&lt;wsp:rsid wsp:val=&quot;00213622&quot;/&gt;&lt;wsp:rsid wsp:val=&quot;002155CA&quot;/&gt;&lt;wsp:rsid wsp:val=&quot;00215D20&quot;/&gt;&lt;wsp:rsid wsp:val=&quot;00220083&quot;/&gt;&lt;wsp:rsid wsp:val=&quot;00220CC0&quot;/&gt;&lt;wsp:rsid wsp:val=&quot;0022252B&quot;/&gt;&lt;wsp:rsid wsp:val=&quot;00224200&quot;/&gt;&lt;wsp:rsid wsp:val=&quot;002274FB&quot;/&gt;&lt;wsp:rsid wsp:val=&quot;002304B5&quot;/&gt;&lt;wsp:rsid wsp:val=&quot;00230FB2&quot;/&gt;&lt;wsp:rsid wsp:val=&quot;002321D4&quot;/&gt;&lt;wsp:rsid wsp:val=&quot;00232EDC&quot;/&gt;&lt;wsp:rsid wsp:val=&quot;002344A5&quot;/&gt;&lt;wsp:rsid wsp:val=&quot;00237353&quot;/&gt;&lt;wsp:rsid wsp:val=&quot;0023765F&quot;/&gt;&lt;wsp:rsid wsp:val=&quot;00240CBA&quot;/&gt;&lt;wsp:rsid wsp:val=&quot;0024129D&quot;/&gt;&lt;wsp:rsid wsp:val=&quot;0024141E&quot;/&gt;&lt;wsp:rsid wsp:val=&quot;0024254A&quot;/&gt;&lt;wsp:rsid wsp:val=&quot;00247AB4&quot;/&gt;&lt;wsp:rsid wsp:val=&quot;002515C9&quot;/&gt;&lt;wsp:rsid wsp:val=&quot;002538D2&quot;/&gt;&lt;wsp:rsid wsp:val=&quot;00256EEF&quot;/&gt;&lt;wsp:rsid wsp:val=&quot;00257D04&quot;/&gt;&lt;wsp:rsid wsp:val=&quot;00260373&quot;/&gt;&lt;wsp:rsid wsp:val=&quot;00262184&quot;/&gt;&lt;wsp:rsid wsp:val=&quot;0026221C&quot;/&gt;&lt;wsp:rsid wsp:val=&quot;00263332&quot;/&gt;&lt;wsp:rsid wsp:val=&quot;0026396F&quot;/&gt;&lt;wsp:rsid wsp:val=&quot;00264230&quot;/&gt;&lt;wsp:rsid wsp:val=&quot;002648C6&quot;/&gt;&lt;wsp:rsid wsp:val=&quot;00264B63&quot;/&gt;&lt;wsp:rsid wsp:val=&quot;00267714&quot;/&gt;&lt;wsp:rsid wsp:val=&quot;00273E12&quot;/&gt;&lt;wsp:rsid wsp:val=&quot;0027456E&quot;/&gt;&lt;wsp:rsid wsp:val=&quot;00274811&quot;/&gt;&lt;wsp:rsid wsp:val=&quot;0027638E&quot;/&gt;&lt;wsp:rsid wsp:val=&quot;00280DBE&quot;/&gt;&lt;wsp:rsid wsp:val=&quot;002823CD&quot;/&gt;&lt;wsp:rsid wsp:val=&quot;002862A7&quot;/&gt;&lt;wsp:rsid wsp:val=&quot;00287CAD&quot;/&gt;&lt;wsp:rsid wsp:val=&quot;00290283&quot;/&gt;&lt;wsp:rsid wsp:val=&quot;00290784&quot;/&gt;&lt;wsp:rsid wsp:val=&quot;00290BDF&quot;/&gt;&lt;wsp:rsid wsp:val=&quot;002922CD&quot;/&gt;&lt;wsp:rsid wsp:val=&quot;00294946&quot;/&gt;&lt;wsp:rsid wsp:val=&quot;00294E3A&quot;/&gt;&lt;wsp:rsid wsp:val=&quot;00297DA5&quot;/&gt;&lt;wsp:rsid wsp:val=&quot;002A0BB8&quot;/&gt;&lt;wsp:rsid wsp:val=&quot;002A559E&quot;/&gt;&lt;wsp:rsid wsp:val=&quot;002A5BF9&quot;/&gt;&lt;wsp:rsid wsp:val=&quot;002A74AD&quot;/&gt;&lt;wsp:rsid wsp:val=&quot;002B2B6D&quot;/&gt;&lt;wsp:rsid wsp:val=&quot;002B5409&quot;/&gt;&lt;wsp:rsid wsp:val=&quot;002C2329&quot;/&gt;&lt;wsp:rsid wsp:val=&quot;002C2492&quot;/&gt;&lt;wsp:rsid wsp:val=&quot;002C50AC&quot;/&gt;&lt;wsp:rsid wsp:val=&quot;002C7F04&quot;/&gt;&lt;wsp:rsid wsp:val=&quot;002D1006&quot;/&gt;&lt;wsp:rsid wsp:val=&quot;002D1147&quot;/&gt;&lt;wsp:rsid wsp:val=&quot;002D14DC&quot;/&gt;&lt;wsp:rsid wsp:val=&quot;002D17AF&quot;/&gt;&lt;wsp:rsid wsp:val=&quot;002D1A02&quot;/&gt;&lt;wsp:rsid wsp:val=&quot;002D1F0B&quot;/&gt;&lt;wsp:rsid wsp:val=&quot;002D27DE&quot;/&gt;&lt;wsp:rsid wsp:val=&quot;002D390D&quot;/&gt;&lt;wsp:rsid wsp:val=&quot;002D4D1D&quot;/&gt;&lt;wsp:rsid wsp:val=&quot;002D794C&quot;/&gt;&lt;wsp:rsid wsp:val=&quot;002D7BBC&quot;/&gt;&lt;wsp:rsid wsp:val=&quot;002D7FEE&quot;/&gt;&lt;wsp:rsid wsp:val=&quot;002E07F1&quot;/&gt;&lt;wsp:rsid wsp:val=&quot;002E20B4&quot;/&gt;&lt;wsp:rsid wsp:val=&quot;002E2907&quot;/&gt;&lt;wsp:rsid wsp:val=&quot;002E3AFD&quot;/&gt;&lt;wsp:rsid wsp:val=&quot;002E7FA9&quot;/&gt;&lt;wsp:rsid wsp:val=&quot;002F1DEF&quot;/&gt;&lt;wsp:rsid wsp:val=&quot;002F2A9B&quot;/&gt;&lt;wsp:rsid wsp:val=&quot;002F2EE7&quot;/&gt;&lt;wsp:rsid wsp:val=&quot;002F5EE4&quot;/&gt;&lt;wsp:rsid wsp:val=&quot;002F6515&quot;/&gt;&lt;wsp:rsid wsp:val=&quot;002F6BCB&quot;/&gt;&lt;wsp:rsid wsp:val=&quot;002F7CF9&quot;/&gt;&lt;wsp:rsid wsp:val=&quot;003001E0&quot;/&gt;&lt;wsp:rsid wsp:val=&quot;00301A1D&quot;/&gt;&lt;wsp:rsid wsp:val=&quot;00302E24&quot;/&gt;&lt;wsp:rsid wsp:val=&quot;0030315F&quot;/&gt;&lt;wsp:rsid wsp:val=&quot;00303340&quot;/&gt;&lt;wsp:rsid wsp:val=&quot;00303D5E&quot;/&gt;&lt;wsp:rsid wsp:val=&quot;00305293&quot;/&gt;&lt;wsp:rsid wsp:val=&quot;00306791&quot;/&gt;&lt;wsp:rsid wsp:val=&quot;003074BF&quot;/&gt;&lt;wsp:rsid wsp:val=&quot;00307B21&quot;/&gt;&lt;wsp:rsid wsp:val=&quot;003110FD&quot;/&gt;&lt;wsp:rsid wsp:val=&quot;003128C4&quot;/&gt;&lt;wsp:rsid wsp:val=&quot;00314BE2&quot;/&gt;&lt;wsp:rsid wsp:val=&quot;003153CB&quot;/&gt;&lt;wsp:rsid wsp:val=&quot;00321B71&quot;/&gt;&lt;wsp:rsid wsp:val=&quot;0032324A&quot;/&gt;&lt;wsp:rsid wsp:val=&quot;00323C4C&quot;/&gt;&lt;wsp:rsid wsp:val=&quot;0032446F&quot;/&gt;&lt;wsp:rsid wsp:val=&quot;003261BA&quot;/&gt;&lt;wsp:rsid wsp:val=&quot;003263BB&quot;/&gt;&lt;wsp:rsid wsp:val=&quot;003304E2&quot;/&gt;&lt;wsp:rsid wsp:val=&quot;003333F4&quot;/&gt;&lt;wsp:rsid wsp:val=&quot;00335D07&quot;/&gt;&lt;wsp:rsid wsp:val=&quot;00335E0F&quot;/&gt;&lt;wsp:rsid wsp:val=&quot;00336E0D&quot;/&gt;&lt;wsp:rsid wsp:val=&quot;003379CF&quot;/&gt;&lt;wsp:rsid wsp:val=&quot;00337F84&quot;/&gt;&lt;wsp:rsid wsp:val=&quot;003412ED&quot;/&gt;&lt;wsp:rsid wsp:val=&quot;003416FC&quot;/&gt;&lt;wsp:rsid wsp:val=&quot;00341B2F&quot;/&gt;&lt;wsp:rsid wsp:val=&quot;003469D5&quot;/&gt;&lt;wsp:rsid wsp:val=&quot;00347152&quot;/&gt;&lt;wsp:rsid wsp:val=&quot;00347DEA&quot;/&gt;&lt;wsp:rsid wsp:val=&quot;00350F98&quot;/&gt;&lt;wsp:rsid wsp:val=&quot;00353D2F&quot;/&gt;&lt;wsp:rsid wsp:val=&quot;00353F9A&quot;/&gt;&lt;wsp:rsid wsp:val=&quot;00354EED&quot;/&gt;&lt;wsp:rsid wsp:val=&quot;00356831&quot;/&gt;&lt;wsp:rsid wsp:val=&quot;00357CAE&quot;/&gt;&lt;wsp:rsid wsp:val=&quot;003607EA&quot;/&gt;&lt;wsp:rsid wsp:val=&quot;0036119D&quot;/&gt;&lt;wsp:rsid wsp:val=&quot;00361872&quot;/&gt;&lt;wsp:rsid wsp:val=&quot;00363255&quot;/&gt;&lt;wsp:rsid wsp:val=&quot;0036452D&quot;/&gt;&lt;wsp:rsid wsp:val=&quot;00364A77&quot;/&gt;&lt;wsp:rsid wsp:val=&quot;00365AE8&quot;/&gt;&lt;wsp:rsid wsp:val=&quot;00365CEF&quot;/&gt;&lt;wsp:rsid wsp:val=&quot;00365E70&quot;/&gt;&lt;wsp:rsid wsp:val=&quot;003673D9&quot;/&gt;&lt;wsp:rsid wsp:val=&quot;00367929&quot;/&gt;&lt;wsp:rsid wsp:val=&quot;00367F28&quot;/&gt;&lt;wsp:rsid wsp:val=&quot;00367FC4&quot;/&gt;&lt;wsp:rsid wsp:val=&quot;00372575&quot;/&gt;&lt;wsp:rsid wsp:val=&quot;0037308D&quot;/&gt;&lt;wsp:rsid wsp:val=&quot;00373198&quot;/&gt;&lt;wsp:rsid wsp:val=&quot;0037334B&quot;/&gt;&lt;wsp:rsid wsp:val=&quot;00373420&quot;/&gt;&lt;wsp:rsid wsp:val=&quot;00385EFD&quot;/&gt;&lt;wsp:rsid wsp:val=&quot;00386130&quot;/&gt;&lt;wsp:rsid wsp:val=&quot;0038696A&quot;/&gt;&lt;wsp:rsid wsp:val=&quot;003871FD&quot;/&gt;&lt;wsp:rsid wsp:val=&quot;00387F69&quot;/&gt;&lt;wsp:rsid wsp:val=&quot;00390B71&quot;/&gt;&lt;wsp:rsid wsp:val=&quot;003921AA&quot;/&gt;&lt;wsp:rsid wsp:val=&quot;003923C4&quot;/&gt;&lt;wsp:rsid wsp:val=&quot;00392518&quot;/&gt;&lt;wsp:rsid wsp:val=&quot;003952D5&quot;/&gt;&lt;wsp:rsid wsp:val=&quot;003955D6&quot;/&gt;&lt;wsp:rsid wsp:val=&quot;00395CA6&quot;/&gt;&lt;wsp:rsid wsp:val=&quot;003976CD&quot;/&gt;&lt;wsp:rsid wsp:val=&quot;003976F9&quot;/&gt;&lt;wsp:rsid wsp:val=&quot;003979BC&quot;/&gt;&lt;wsp:rsid wsp:val=&quot;003A3A4B&quot;/&gt;&lt;wsp:rsid wsp:val=&quot;003A4B08&quot;/&gt;&lt;wsp:rsid wsp:val=&quot;003B07B6&quot;/&gt;&lt;wsp:rsid wsp:val=&quot;003B09E9&quot;/&gt;&lt;wsp:rsid wsp:val=&quot;003B64B8&quot;/&gt;&lt;wsp:rsid wsp:val=&quot;003B6546&quot;/&gt;&lt;wsp:rsid wsp:val=&quot;003B6A87&quot;/&gt;&lt;wsp:rsid wsp:val=&quot;003B7BC5&quot;/&gt;&lt;wsp:rsid wsp:val=&quot;003C1640&quot;/&gt;&lt;wsp:rsid wsp:val=&quot;003C20C2&quot;/&gt;&lt;wsp:rsid wsp:val=&quot;003C298E&quot;/&gt;&lt;wsp:rsid wsp:val=&quot;003C3952&quot;/&gt;&lt;wsp:rsid wsp:val=&quot;003C48B6&quot;/&gt;&lt;wsp:rsid wsp:val=&quot;003C5CB9&quot;/&gt;&lt;wsp:rsid wsp:val=&quot;003D0053&quot;/&gt;&lt;wsp:rsid wsp:val=&quot;003D068A&quot;/&gt;&lt;wsp:rsid wsp:val=&quot;003D0EEB&quot;/&gt;&lt;wsp:rsid wsp:val=&quot;003D23B5&quot;/&gt;&lt;wsp:rsid wsp:val=&quot;003E05C5&quot;/&gt;&lt;wsp:rsid wsp:val=&quot;003E1CE1&quot;/&gt;&lt;wsp:rsid wsp:val=&quot;003E2ADE&quot;/&gt;&lt;wsp:rsid wsp:val=&quot;003E38AE&quot;/&gt;&lt;wsp:rsid wsp:val=&quot;003E3965&quot;/&gt;&lt;wsp:rsid wsp:val=&quot;003E537D&quot;/&gt;&lt;wsp:rsid wsp:val=&quot;003F0CF3&quot;/&gt;&lt;wsp:rsid wsp:val=&quot;003F1AD0&quot;/&gt;&lt;wsp:rsid wsp:val=&quot;003F24B1&quot;/&gt;&lt;wsp:rsid wsp:val=&quot;003F2EC8&quot;/&gt;&lt;wsp:rsid wsp:val=&quot;003F438A&quot;/&gt;&lt;wsp:rsid wsp:val=&quot;003F4DE7&quot;/&gt;&lt;wsp:rsid wsp:val=&quot;00401359&quot;/&gt;&lt;wsp:rsid wsp:val=&quot;00402394&quot;/&gt;&lt;wsp:rsid wsp:val=&quot;0040494A&quot;/&gt;&lt;wsp:rsid wsp:val=&quot;00404DC1&quot;/&gt;&lt;wsp:rsid wsp:val=&quot;00406370&quot;/&gt;&lt;wsp:rsid wsp:val=&quot;0040664F&quot;/&gt;&lt;wsp:rsid wsp:val=&quot;00407481&quot;/&gt;&lt;wsp:rsid wsp:val=&quot;00412CE9&quot;/&gt;&lt;wsp:rsid wsp:val=&quot;004145C9&quot;/&gt;&lt;wsp:rsid wsp:val=&quot;00420136&quot;/&gt;&lt;wsp:rsid wsp:val=&quot;004201F7&quot;/&gt;&lt;wsp:rsid wsp:val=&quot;004211E5&quot;/&gt;&lt;wsp:rsid wsp:val=&quot;00421932&quot;/&gt;&lt;wsp:rsid wsp:val=&quot;004239CA&quot;/&gt;&lt;wsp:rsid wsp:val=&quot;00423FBF&quot;/&gt;&lt;wsp:rsid wsp:val=&quot;00426255&quot;/&gt;&lt;wsp:rsid wsp:val=&quot;0043308D&quot;/&gt;&lt;wsp:rsid wsp:val=&quot;00434060&quot;/&gt;&lt;wsp:rsid wsp:val=&quot;004367F3&quot;/&gt;&lt;wsp:rsid wsp:val=&quot;00436C7B&quot;/&gt;&lt;wsp:rsid wsp:val=&quot;00440177&quot;/&gt;&lt;wsp:rsid wsp:val=&quot;0044058C&quot;/&gt;&lt;wsp:rsid wsp:val=&quot;0044117F&quot;/&gt;&lt;wsp:rsid wsp:val=&quot;004441CD&quot;/&gt;&lt;wsp:rsid wsp:val=&quot;00445273&quot;/&gt;&lt;wsp:rsid wsp:val=&quot;00447043&quot;/&gt;&lt;wsp:rsid wsp:val=&quot;00451AFC&quot;/&gt;&lt;wsp:rsid wsp:val=&quot;004525DA&quot;/&gt;&lt;wsp:rsid wsp:val=&quot;00453EB9&quot;/&gt;&lt;wsp:rsid wsp:val=&quot;0045540A&quot;/&gt;&lt;wsp:rsid wsp:val=&quot;00455506&quot;/&gt;&lt;wsp:rsid wsp:val=&quot;00465403&quot;/&gt;&lt;wsp:rsid wsp:val=&quot;00466304&quot;/&gt;&lt;wsp:rsid wsp:val=&quot;00470F08&quot;/&gt;&lt;wsp:rsid wsp:val=&quot;00471007&quot;/&gt;&lt;wsp:rsid wsp:val=&quot;0047288D&quot;/&gt;&lt;wsp:rsid wsp:val=&quot;00473E2F&quot;/&gt;&lt;wsp:rsid wsp:val=&quot;004772E6&quot;/&gt;&lt;wsp:rsid wsp:val=&quot;00483E69&quot;/&gt;&lt;wsp:rsid wsp:val=&quot;00485D3A&quot;/&gt;&lt;wsp:rsid wsp:val=&quot;00485FDD&quot;/&gt;&lt;wsp:rsid wsp:val=&quot;00486A45&quot;/&gt;&lt;wsp:rsid wsp:val=&quot;0048733B&quot;/&gt;&lt;wsp:rsid wsp:val=&quot;00490331&quot;/&gt;&lt;wsp:rsid wsp:val=&quot;00491AAC&quot;/&gt;&lt;wsp:rsid wsp:val=&quot;0049260C&quot;/&gt;&lt;wsp:rsid wsp:val=&quot;004938D8&quot;/&gt;&lt;wsp:rsid wsp:val=&quot;00494EB5&quot;/&gt;&lt;wsp:rsid wsp:val=&quot;0049570A&quot;/&gt;&lt;wsp:rsid wsp:val=&quot;004959A4&quot;/&gt;&lt;wsp:rsid wsp:val=&quot;00495D38&quot;/&gt;&lt;wsp:rsid wsp:val=&quot;00496583&quot;/&gt;&lt;wsp:rsid wsp:val=&quot;004A34AD&quot;/&gt;&lt;wsp:rsid wsp:val=&quot;004A4F87&quot;/&gt;&lt;wsp:rsid wsp:val=&quot;004A50BC&quot;/&gt;&lt;wsp:rsid wsp:val=&quot;004B09DF&quot;/&gt;&lt;wsp:rsid wsp:val=&quot;004B192A&quot;/&gt;&lt;wsp:rsid wsp:val=&quot;004B3082&quot;/&gt;&lt;wsp:rsid wsp:val=&quot;004B6E2D&quot;/&gt;&lt;wsp:rsid wsp:val=&quot;004C0097&quot;/&gt;&lt;wsp:rsid wsp:val=&quot;004C042E&quot;/&gt;&lt;wsp:rsid wsp:val=&quot;004C0536&quot;/&gt;&lt;wsp:rsid wsp:val=&quot;004C1267&quot;/&gt;&lt;wsp:rsid wsp:val=&quot;004C416A&quot;/&gt;&lt;wsp:rsid wsp:val=&quot;004C63A5&quot;/&gt;&lt;wsp:rsid wsp:val=&quot;004C6ACA&quot;/&gt;&lt;wsp:rsid wsp:val=&quot;004C7F50&quot;/&gt;&lt;wsp:rsid wsp:val=&quot;004D008A&quot;/&gt;&lt;wsp:rsid wsp:val=&quot;004D0C67&quot;/&gt;&lt;wsp:rsid wsp:val=&quot;004D211E&quot;/&gt;&lt;wsp:rsid wsp:val=&quot;004D3AC7&quot;/&gt;&lt;wsp:rsid wsp:val=&quot;004D4C5E&quot;/&gt;&lt;wsp:rsid wsp:val=&quot;004D6AF3&quot;/&gt;&lt;wsp:rsid wsp:val=&quot;004E067F&quot;/&gt;&lt;wsp:rsid wsp:val=&quot;004E0B0B&quot;/&gt;&lt;wsp:rsid wsp:val=&quot;004E13DA&quot;/&gt;&lt;wsp:rsid wsp:val=&quot;004E3E40&quot;/&gt;&lt;wsp:rsid wsp:val=&quot;004E7D3E&quot;/&gt;&lt;wsp:rsid wsp:val=&quot;004F10DC&quot;/&gt;&lt;wsp:rsid wsp:val=&quot;004F17CF&quot;/&gt;&lt;wsp:rsid wsp:val=&quot;004F1BFD&quot;/&gt;&lt;wsp:rsid wsp:val=&quot;004F42AA&quot;/&gt;&lt;wsp:rsid wsp:val=&quot;004F47F8&quot;/&gt;&lt;wsp:rsid wsp:val=&quot;004F49FA&quot;/&gt;&lt;wsp:rsid wsp:val=&quot;004F6595&quot;/&gt;&lt;wsp:rsid wsp:val=&quot;004F7222&quot;/&gt;&lt;wsp:rsid wsp:val=&quot;004F7C3A&quot;/&gt;&lt;wsp:rsid wsp:val=&quot;0050011A&quot;/&gt;&lt;wsp:rsid wsp:val=&quot;00500314&quot;/&gt;&lt;wsp:rsid wsp:val=&quot;0050040A&quot;/&gt;&lt;wsp:rsid wsp:val=&quot;005048BC&quot;/&gt;&lt;wsp:rsid wsp:val=&quot;0050762C&quot;/&gt;&lt;wsp:rsid wsp:val=&quot;00513466&quot;/&gt;&lt;wsp:rsid wsp:val=&quot;00513FC4&quot;/&gt;&lt;wsp:rsid wsp:val=&quot;00516B99&quot;/&gt;&lt;wsp:rsid wsp:val=&quot;0052230F&quot;/&gt;&lt;wsp:rsid wsp:val=&quot;005263EB&quot;/&gt;&lt;wsp:rsid wsp:val=&quot;00531B6D&quot;/&gt;&lt;wsp:rsid wsp:val=&quot;005355E9&quot;/&gt;&lt;wsp:rsid wsp:val=&quot;005377BC&quot;/&gt;&lt;wsp:rsid wsp:val=&quot;00537887&quot;/&gt;&lt;wsp:rsid wsp:val=&quot;00537FE2&quot;/&gt;&lt;wsp:rsid wsp:val=&quot;0054112B&quot;/&gt;&lt;wsp:rsid wsp:val=&quot;00541C36&quot;/&gt;&lt;wsp:rsid wsp:val=&quot;00543CBF&quot;/&gt;&lt;wsp:rsid wsp:val=&quot;00544EB8&quot;/&gt;&lt;wsp:rsid wsp:val=&quot;005457B9&quot;/&gt;&lt;wsp:rsid wsp:val=&quot;00552604&quot;/&gt;&lt;wsp:rsid wsp:val=&quot;00552B2A&quot;/&gt;&lt;wsp:rsid wsp:val=&quot;00552E11&quot;/&gt;&lt;wsp:rsid wsp:val=&quot;0055531C&quot;/&gt;&lt;wsp:rsid wsp:val=&quot;005556DA&quot;/&gt;&lt;wsp:rsid wsp:val=&quot;005556DD&quot;/&gt;&lt;wsp:rsid wsp:val=&quot;00556D35&quot;/&gt;&lt;wsp:rsid wsp:val=&quot;0056089C&quot;/&gt;&lt;wsp:rsid wsp:val=&quot;00561A24&quot;/&gt;&lt;wsp:rsid wsp:val=&quot;00562C25&quot;/&gt;&lt;wsp:rsid wsp:val=&quot;0056462B&quot;/&gt;&lt;wsp:rsid wsp:val=&quot;005659B3&quot;/&gt;&lt;wsp:rsid wsp:val=&quot;00566C48&quot;/&gt;&lt;wsp:rsid wsp:val=&quot;0057343A&quot;/&gt;&lt;wsp:rsid wsp:val=&quot;0057366B&quot;/&gt;&lt;wsp:rsid wsp:val=&quot;00574598&quot;/&gt;&lt;wsp:rsid wsp:val=&quot;00576DA0&quot;/&gt;&lt;wsp:rsid wsp:val=&quot;005771B5&quot;/&gt;&lt;wsp:rsid wsp:val=&quot;005775FF&quot;/&gt;&lt;wsp:rsid wsp:val=&quot;00577BAC&quot;/&gt;&lt;wsp:rsid wsp:val=&quot;005810DE&quot;/&gt;&lt;wsp:rsid wsp:val=&quot;00582020&quot;/&gt;&lt;wsp:rsid wsp:val=&quot;00582A3D&quot;/&gt;&lt;wsp:rsid wsp:val=&quot;00582F0B&quot;/&gt;&lt;wsp:rsid wsp:val=&quot;00583B0C&quot;/&gt;&lt;wsp:rsid wsp:val=&quot;00583CF7&quot;/&gt;&lt;wsp:rsid wsp:val=&quot;00583FD9&quot;/&gt;&lt;wsp:rsid wsp:val=&quot;00584BCF&quot;/&gt;&lt;wsp:rsid wsp:val=&quot;00591EB0&quot;/&gt;&lt;wsp:rsid wsp:val=&quot;005921D6&quot;/&gt;&lt;wsp:rsid wsp:val=&quot;00592ABB&quot;/&gt;&lt;wsp:rsid wsp:val=&quot;00593355&quot;/&gt;&lt;wsp:rsid wsp:val=&quot;00596838&quot;/&gt;&lt;wsp:rsid wsp:val=&quot;005978CE&quot;/&gt;&lt;wsp:rsid wsp:val=&quot;005979E5&quot;/&gt;&lt;wsp:rsid wsp:val=&quot;005A1273&quot;/&gt;&lt;wsp:rsid wsp:val=&quot;005A1A96&quot;/&gt;&lt;wsp:rsid wsp:val=&quot;005A301C&quot;/&gt;&lt;wsp:rsid wsp:val=&quot;005A450B&quot;/&gt;&lt;wsp:rsid wsp:val=&quot;005A458F&quot;/&gt;&lt;wsp:rsid wsp:val=&quot;005A46AC&quot;/&gt;&lt;wsp:rsid wsp:val=&quot;005A5562&quot;/&gt;&lt;wsp:rsid wsp:val=&quot;005A5E2E&quot;/&gt;&lt;wsp:rsid wsp:val=&quot;005A6822&quot;/&gt;&lt;wsp:rsid wsp:val=&quot;005A6B44&quot;/&gt;&lt;wsp:rsid wsp:val=&quot;005A7991&quot;/&gt;&lt;wsp:rsid wsp:val=&quot;005B15D7&quot;/&gt;&lt;wsp:rsid wsp:val=&quot;005B2293&quot;/&gt;&lt;wsp:rsid wsp:val=&quot;005B32E3&quot;/&gt;&lt;wsp:rsid wsp:val=&quot;005B40F1&quot;/&gt;&lt;wsp:rsid wsp:val=&quot;005B4926&quot;/&gt;&lt;wsp:rsid wsp:val=&quot;005B54CC&quot;/&gt;&lt;wsp:rsid wsp:val=&quot;005B6265&quot;/&gt;&lt;wsp:rsid wsp:val=&quot;005B6346&quot;/&gt;&lt;wsp:rsid wsp:val=&quot;005B6AD4&quot;/&gt;&lt;wsp:rsid wsp:val=&quot;005B72DA&quot;/&gt;&lt;wsp:rsid wsp:val=&quot;005C27FE&quot;/&gt;&lt;wsp:rsid wsp:val=&quot;005C3CD8&quot;/&gt;&lt;wsp:rsid wsp:val=&quot;005C3D47&quot;/&gt;&lt;wsp:rsid wsp:val=&quot;005C4EDC&quot;/&gt;&lt;wsp:rsid wsp:val=&quot;005C5608&quot;/&gt;&lt;wsp:rsid wsp:val=&quot;005D0611&quot;/&gt;&lt;wsp:rsid wsp:val=&quot;005D110A&quot;/&gt;&lt;wsp:rsid wsp:val=&quot;005D1D8B&quot;/&gt;&lt;wsp:rsid wsp:val=&quot;005D2189&quot;/&gt;&lt;wsp:rsid wsp:val=&quot;005D2288&quot;/&gt;&lt;wsp:rsid wsp:val=&quot;005D4422&quot;/&gt;&lt;wsp:rsid wsp:val=&quot;005E0776&quot;/&gt;&lt;wsp:rsid wsp:val=&quot;005E1A7B&quot;/&gt;&lt;wsp:rsid wsp:val=&quot;005E41ED&quot;/&gt;&lt;wsp:rsid wsp:val=&quot;005F07EB&quot;/&gt;&lt;wsp:rsid wsp:val=&quot;005F1354&quot;/&gt;&lt;wsp:rsid wsp:val=&quot;005F5AA0&quot;/&gt;&lt;wsp:rsid wsp:val=&quot;00600365&quot;/&gt;&lt;wsp:rsid wsp:val=&quot;006017CD&quot;/&gt;&lt;wsp:rsid wsp:val=&quot;00604244&quot;/&gt;&lt;wsp:rsid wsp:val=&quot;00604271&quot;/&gt;&lt;wsp:rsid wsp:val=&quot;00605324&quot;/&gt;&lt;wsp:rsid wsp:val=&quot;00605D74&quot;/&gt;&lt;wsp:rsid wsp:val=&quot;00605E30&quot;/&gt;&lt;wsp:rsid wsp:val=&quot;00607AC9&quot;/&gt;&lt;wsp:rsid wsp:val=&quot;00611658&quot;/&gt;&lt;wsp:rsid wsp:val=&quot;00611EE2&quot;/&gt;&lt;wsp:rsid wsp:val=&quot;00615DCF&quot;/&gt;&lt;wsp:rsid wsp:val=&quot;00620440&quot;/&gt;&lt;wsp:rsid wsp:val=&quot;0062124B&quot;/&gt;&lt;wsp:rsid wsp:val=&quot;00621338&quot;/&gt;&lt;wsp:rsid wsp:val=&quot;0062418F&quot;/&gt;&lt;wsp:rsid wsp:val=&quot;006241B4&quot;/&gt;&lt;wsp:rsid wsp:val=&quot;006250BE&quot;/&gt;&lt;wsp:rsid wsp:val=&quot;00625588&quot;/&gt;&lt;wsp:rsid wsp:val=&quot;00632066&quot;/&gt;&lt;wsp:rsid wsp:val=&quot;006325FC&quot;/&gt;&lt;wsp:rsid wsp:val=&quot;00633560&quot;/&gt;&lt;wsp:rsid wsp:val=&quot;00635904&quot;/&gt;&lt;wsp:rsid wsp:val=&quot;0063688A&quot;/&gt;&lt;wsp:rsid wsp:val=&quot;00636EC7&quot;/&gt;&lt;wsp:rsid wsp:val=&quot;0063786F&quot;/&gt;&lt;wsp:rsid wsp:val=&quot;006418FE&quot;/&gt;&lt;wsp:rsid wsp:val=&quot;00642D9E&quot;/&gt;&lt;wsp:rsid wsp:val=&quot;0064537F&quot;/&gt;&lt;wsp:rsid wsp:val=&quot;006465BE&quot;/&gt;&lt;wsp:rsid wsp:val=&quot;00650251&quot;/&gt;&lt;wsp:rsid wsp:val=&quot;00651175&quot;/&gt;&lt;wsp:rsid wsp:val=&quot;00651478&quot;/&gt;&lt;wsp:rsid wsp:val=&quot;0065222A&quot;/&gt;&lt;wsp:rsid wsp:val=&quot;0065387C&quot;/&gt;&lt;wsp:rsid wsp:val=&quot;006548FF&quot;/&gt;&lt;wsp:rsid wsp:val=&quot;00657189&quot;/&gt;&lt;wsp:rsid wsp:val=&quot;00660F0D&quot;/&gt;&lt;wsp:rsid wsp:val=&quot;006637EC&quot;/&gt;&lt;wsp:rsid wsp:val=&quot;006652F2&quot;/&gt;&lt;wsp:rsid wsp:val=&quot;0066639C&quot;/&gt;&lt;wsp:rsid wsp:val=&quot;006673F3&quot;/&gt;&lt;wsp:rsid wsp:val=&quot;00667A8A&quot;/&gt;&lt;wsp:rsid wsp:val=&quot;006730BB&quot;/&gt;&lt;wsp:rsid wsp:val=&quot;006739C2&quot;/&gt;&lt;wsp:rsid wsp:val=&quot;00674A21&quot;/&gt;&lt;wsp:rsid wsp:val=&quot;0068088A&quot;/&gt;&lt;wsp:rsid wsp:val=&quot;00682E98&quot;/&gt;&lt;wsp:rsid wsp:val=&quot;00683227&quot;/&gt;&lt;wsp:rsid wsp:val=&quot;00686048&quot;/&gt;&lt;wsp:rsid wsp:val=&quot;00686BA3&quot;/&gt;&lt;wsp:rsid wsp:val=&quot;0069144E&quot;/&gt;&lt;wsp:rsid wsp:val=&quot;006919E9&quot;/&gt;&lt;wsp:rsid wsp:val=&quot;006930D7&quot;/&gt;&lt;wsp:rsid wsp:val=&quot;006930EA&quot;/&gt;&lt;wsp:rsid wsp:val=&quot;00694A5F&quot;/&gt;&lt;wsp:rsid wsp:val=&quot;006A1778&quot;/&gt;&lt;wsp:rsid wsp:val=&quot;006A24B6&quot;/&gt;&lt;wsp:rsid wsp:val=&quot;006B2449&quot;/&gt;&lt;wsp:rsid wsp:val=&quot;006B2834&quot;/&gt;&lt;wsp:rsid wsp:val=&quot;006B30F8&quot;/&gt;&lt;wsp:rsid wsp:val=&quot;006B3DDB&quot;/&gt;&lt;wsp:rsid wsp:val=&quot;006B3E33&quot;/&gt;&lt;wsp:rsid wsp:val=&quot;006C10D4&quot;/&gt;&lt;wsp:rsid wsp:val=&quot;006C19B6&quot;/&gt;&lt;wsp:rsid wsp:val=&quot;006C3EDF&quot;/&gt;&lt;wsp:rsid wsp:val=&quot;006C454A&quot;/&gt;&lt;wsp:rsid wsp:val=&quot;006C4726&quot;/&gt;&lt;wsp:rsid wsp:val=&quot;006C47FA&quot;/&gt;&lt;wsp:rsid wsp:val=&quot;006C60AD&quot;/&gt;&lt;wsp:rsid wsp:val=&quot;006C73DD&quot;/&gt;&lt;wsp:rsid wsp:val=&quot;006D0A19&quot;/&gt;&lt;wsp:rsid wsp:val=&quot;006D114B&quot;/&gt;&lt;wsp:rsid wsp:val=&quot;006D2E67&quot;/&gt;&lt;wsp:rsid wsp:val=&quot;006D6AFC&quot;/&gt;&lt;wsp:rsid wsp:val=&quot;006D6B93&quot;/&gt;&lt;wsp:rsid wsp:val=&quot;006D751A&quot;/&gt;&lt;wsp:rsid wsp:val=&quot;006D7865&quot;/&gt;&lt;wsp:rsid wsp:val=&quot;006D7F10&quot;/&gt;&lt;wsp:rsid wsp:val=&quot;006E28B4&quot;/&gt;&lt;wsp:rsid wsp:val=&quot;006E3854&quot;/&gt;&lt;wsp:rsid wsp:val=&quot;006E6874&quot;/&gt;&lt;wsp:rsid wsp:val=&quot;006E6A44&quot;/&gt;&lt;wsp:rsid wsp:val=&quot;006E7C56&quot;/&gt;&lt;wsp:rsid wsp:val=&quot;006F29CE&quot;/&gt;&lt;wsp:rsid wsp:val=&quot;006F2FAA&quot;/&gt;&lt;wsp:rsid wsp:val=&quot;006F3F28&quot;/&gt;&lt;wsp:rsid wsp:val=&quot;006F4436&quot;/&gt;&lt;wsp:rsid wsp:val=&quot;006F4B04&quot;/&gt;&lt;wsp:rsid wsp:val=&quot;006F5C54&quot;/&gt;&lt;wsp:rsid wsp:val=&quot;006F7651&quot;/&gt;&lt;wsp:rsid wsp:val=&quot;006F7D57&quot;/&gt;&lt;wsp:rsid wsp:val=&quot;00700688&quot;/&gt;&lt;wsp:rsid wsp:val=&quot;00700DCE&quot;/&gt;&lt;wsp:rsid wsp:val=&quot;00701135&quot;/&gt;&lt;wsp:rsid wsp:val=&quot;00701CC0&quot;/&gt;&lt;wsp:rsid wsp:val=&quot;0070525E&quot;/&gt;&lt;wsp:rsid wsp:val=&quot;00705AB9&quot;/&gt;&lt;wsp:rsid wsp:val=&quot;00706BBB&quot;/&gt;&lt;wsp:rsid wsp:val=&quot;00706D4D&quot;/&gt;&lt;wsp:rsid wsp:val=&quot;007114B3&quot;/&gt;&lt;wsp:rsid wsp:val=&quot;00712448&quot;/&gt;&lt;wsp:rsid wsp:val=&quot;007128BA&quot;/&gt;&lt;wsp:rsid wsp:val=&quot;00714637&quot;/&gt;&lt;wsp:rsid wsp:val=&quot;00715706&quot;/&gt;&lt;wsp:rsid wsp:val=&quot;00716F72&quot;/&gt;&lt;wsp:rsid wsp:val=&quot;007210F3&quot;/&gt;&lt;wsp:rsid wsp:val=&quot;00730132&quot;/&gt;&lt;wsp:rsid wsp:val=&quot;007309DF&quot;/&gt;&lt;wsp:rsid wsp:val=&quot;00733418&quot;/&gt;&lt;wsp:rsid wsp:val=&quot;00734782&quot;/&gt;&lt;wsp:rsid wsp:val=&quot;00736A90&quot;/&gt;&lt;wsp:rsid wsp:val=&quot;007375D3&quot;/&gt;&lt;wsp:rsid wsp:val=&quot;00740125&quot;/&gt;&lt;wsp:rsid wsp:val=&quot;00741D90&quot;/&gt;&lt;wsp:rsid wsp:val=&quot;00742C71&quot;/&gt;&lt;wsp:rsid wsp:val=&quot;00742D00&quot;/&gt;&lt;wsp:rsid wsp:val=&quot;007440D8&quot;/&gt;&lt;wsp:rsid wsp:val=&quot;0074538B&quot;/&gt;&lt;wsp:rsid wsp:val=&quot;00745C65&quot;/&gt;&lt;wsp:rsid wsp:val=&quot;00746C10&quot;/&gt;&lt;wsp:rsid wsp:val=&quot;00746DB9&quot;/&gt;&lt;wsp:rsid wsp:val=&quot;0074743C&quot;/&gt;&lt;wsp:rsid wsp:val=&quot;00750391&quot;/&gt;&lt;wsp:rsid wsp:val=&quot;00750913&quot;/&gt;&lt;wsp:rsid wsp:val=&quot;007572CD&quot;/&gt;&lt;wsp:rsid wsp:val=&quot;00757590&quot;/&gt;&lt;wsp:rsid wsp:val=&quot;00757EE8&quot;/&gt;&lt;wsp:rsid wsp:val=&quot;00762001&quot;/&gt;&lt;wsp:rsid wsp:val=&quot;00763802&quot;/&gt;&lt;wsp:rsid wsp:val=&quot;0076423D&quot;/&gt;&lt;wsp:rsid wsp:val=&quot;007662A0&quot;/&gt;&lt;wsp:rsid wsp:val=&quot;00766DAE&quot;/&gt;&lt;wsp:rsid wsp:val=&quot;00766E70&quot;/&gt;&lt;wsp:rsid wsp:val=&quot;00770813&quot;/&gt;&lt;wsp:rsid wsp:val=&quot;00771145&quot;/&gt;&lt;wsp:rsid wsp:val=&quot;00771A26&quot;/&gt;&lt;wsp:rsid wsp:val=&quot;0077361A&quot;/&gt;&lt;wsp:rsid wsp:val=&quot;00773E33&quot;/&gt;&lt;wsp:rsid wsp:val=&quot;007743A3&quot;/&gt;&lt;wsp:rsid wsp:val=&quot;0077654F&quot;/&gt;&lt;wsp:rsid wsp:val=&quot;0077699C&quot;/&gt;&lt;wsp:rsid wsp:val=&quot;00776C26&quot;/&gt;&lt;wsp:rsid wsp:val=&quot;00777284&quot;/&gt;&lt;wsp:rsid wsp:val=&quot;00780593&quot;/&gt;&lt;wsp:rsid wsp:val=&quot;007829FD&quot;/&gt;&lt;wsp:rsid wsp:val=&quot;00782FE0&quot;/&gt;&lt;wsp:rsid wsp:val=&quot;00784886&quot;/&gt;&lt;wsp:rsid wsp:val=&quot;00785263&quot;/&gt;&lt;wsp:rsid wsp:val=&quot;007857A0&quot;/&gt;&lt;wsp:rsid wsp:val=&quot;007861E5&quot;/&gt;&lt;wsp:rsid wsp:val=&quot;00787AF0&quot;/&gt;&lt;wsp:rsid wsp:val=&quot;00787DD0&quot;/&gt;&lt;wsp:rsid wsp:val=&quot;00792805&quot;/&gt;&lt;wsp:rsid wsp:val=&quot;00792DF5&quot;/&gt;&lt;wsp:rsid wsp:val=&quot;00792DFE&quot;/&gt;&lt;wsp:rsid wsp:val=&quot;00793F08&quot;/&gt;&lt;wsp:rsid wsp:val=&quot;00794952&quot;/&gt;&lt;wsp:rsid wsp:val=&quot;007949D9&quot;/&gt;&lt;wsp:rsid wsp:val=&quot;00794A59&quot;/&gt;&lt;wsp:rsid wsp:val=&quot;00795848&quot;/&gt;&lt;wsp:rsid wsp:val=&quot;00796A28&quot;/&gt;&lt;wsp:rsid wsp:val=&quot;00797C7E&quot;/&gt;&lt;wsp:rsid wsp:val=&quot;007A0EC4&quot;/&gt;&lt;wsp:rsid wsp:val=&quot;007A28C3&quot;/&gt;&lt;wsp:rsid wsp:val=&quot;007A5C44&quot;/&gt;&lt;wsp:rsid wsp:val=&quot;007B0043&quot;/&gt;&lt;wsp:rsid wsp:val=&quot;007B0213&quot;/&gt;&lt;wsp:rsid wsp:val=&quot;007B0732&quot;/&gt;&lt;wsp:rsid wsp:val=&quot;007B0F19&quot;/&gt;&lt;wsp:rsid wsp:val=&quot;007B29DB&quot;/&gt;&lt;wsp:rsid wsp:val=&quot;007B31E3&quot;/&gt;&lt;wsp:rsid wsp:val=&quot;007B367F&quot;/&gt;&lt;wsp:rsid wsp:val=&quot;007B394B&quot;/&gt;&lt;wsp:rsid wsp:val=&quot;007B686F&quot;/&gt;&lt;wsp:rsid wsp:val=&quot;007B6875&quot;/&gt;&lt;wsp:rsid wsp:val=&quot;007B7381&quot;/&gt;&lt;wsp:rsid wsp:val=&quot;007C17B9&quot;/&gt;&lt;wsp:rsid wsp:val=&quot;007C1963&quot;/&gt;&lt;wsp:rsid wsp:val=&quot;007C1AAB&quot;/&gt;&lt;wsp:rsid wsp:val=&quot;007C1EA2&quot;/&gt;&lt;wsp:rsid wsp:val=&quot;007C2D3E&quot;/&gt;&lt;wsp:rsid wsp:val=&quot;007C4511&quot;/&gt;&lt;wsp:rsid wsp:val=&quot;007C76E4&quot;/&gt;&lt;wsp:rsid wsp:val=&quot;007D1429&quot;/&gt;&lt;wsp:rsid wsp:val=&quot;007D3738&quot;/&gt;&lt;wsp:rsid wsp:val=&quot;007D3C5C&quot;/&gt;&lt;wsp:rsid wsp:val=&quot;007E1CAB&quot;/&gt;&lt;wsp:rsid wsp:val=&quot;007E362A&quot;/&gt;&lt;wsp:rsid wsp:val=&quot;007E5B3F&quot;/&gt;&lt;wsp:rsid wsp:val=&quot;007E64A2&quot;/&gt;&lt;wsp:rsid wsp:val=&quot;007F0A58&quot;/&gt;&lt;wsp:rsid wsp:val=&quot;007F1BB6&quot;/&gt;&lt;wsp:rsid wsp:val=&quot;007F1E62&quot;/&gt;&lt;wsp:rsid wsp:val=&quot;007F2156&quot;/&gt;&lt;wsp:rsid wsp:val=&quot;007F2C0A&quot;/&gt;&lt;wsp:rsid wsp:val=&quot;007F52E3&quot;/&gt;&lt;wsp:rsid wsp:val=&quot;008019F8&quot;/&gt;&lt;wsp:rsid wsp:val=&quot;00802491&quot;/&gt;&lt;wsp:rsid wsp:val=&quot;0080280E&quot;/&gt;&lt;wsp:rsid wsp:val=&quot;008030F9&quot;/&gt;&lt;wsp:rsid wsp:val=&quot;0081015F&quot;/&gt;&lt;wsp:rsid wsp:val=&quot;008122CA&quot;/&gt;&lt;wsp:rsid wsp:val=&quot;00812A67&quot;/&gt;&lt;wsp:rsid wsp:val=&quot;00816509&quot;/&gt;&lt;wsp:rsid wsp:val=&quot;008168A2&quot;/&gt;&lt;wsp:rsid wsp:val=&quot;00816E51&quot;/&gt;&lt;wsp:rsid wsp:val=&quot;00817E8C&quot;/&gt;&lt;wsp:rsid wsp:val=&quot;00820F1E&quot;/&gt;&lt;wsp:rsid wsp:val=&quot;00821C2F&quot;/&gt;&lt;wsp:rsid wsp:val=&quot;00821F18&quot;/&gt;&lt;wsp:rsid wsp:val=&quot;00822945&quot;/&gt;&lt;wsp:rsid wsp:val=&quot;00824161&quot;/&gt;&lt;wsp:rsid wsp:val=&quot;008249DE&quot;/&gt;&lt;wsp:rsid wsp:val=&quot;00825EB2&quot;/&gt;&lt;wsp:rsid wsp:val=&quot;00832AA3&quot;/&gt;&lt;wsp:rsid wsp:val=&quot;00832CF1&quot;/&gt;&lt;wsp:rsid wsp:val=&quot;00834A74&quot;/&gt;&lt;wsp:rsid wsp:val=&quot;00834F59&quot;/&gt;&lt;wsp:rsid wsp:val=&quot;00837C5E&quot;/&gt;&lt;wsp:rsid wsp:val=&quot;008401A5&quot;/&gt;&lt;wsp:rsid wsp:val=&quot;008415F2&quot;/&gt;&lt;wsp:rsid wsp:val=&quot;00841893&quot;/&gt;&lt;wsp:rsid wsp:val=&quot;008430CF&quot;/&gt;&lt;wsp:rsid wsp:val=&quot;00843CA3&quot;/&gt;&lt;wsp:rsid wsp:val=&quot;00846F31&quot;/&gt;&lt;wsp:rsid wsp:val=&quot;00851E29&quot;/&gt;&lt;wsp:rsid wsp:val=&quot;008520FC&quot;/&gt;&lt;wsp:rsid wsp:val=&quot;008522EC&quot;/&gt;&lt;wsp:rsid wsp:val=&quot;00852752&quot;/&gt;&lt;wsp:rsid wsp:val=&quot;008527EC&quot;/&gt;&lt;wsp:rsid wsp:val=&quot;00853C1A&quot;/&gt;&lt;wsp:rsid wsp:val=&quot;00853E9B&quot;/&gt;&lt;wsp:rsid wsp:val=&quot;00857352&quot;/&gt;&lt;wsp:rsid wsp:val=&quot;008578D5&quot;/&gt;&lt;wsp:rsid wsp:val=&quot;00860A4E&quot;/&gt;&lt;wsp:rsid wsp:val=&quot;00861159&quot;/&gt;&lt;wsp:rsid wsp:val=&quot;00861CFE&quot;/&gt;&lt;wsp:rsid wsp:val=&quot;008628F8&quot;/&gt;&lt;wsp:rsid wsp:val=&quot;00862E93&quot;/&gt;&lt;wsp:rsid wsp:val=&quot;008637F9&quot;/&gt;&lt;wsp:rsid wsp:val=&quot;008648BC&quot;/&gt;&lt;wsp:rsid wsp:val=&quot;00865217&quot;/&gt;&lt;wsp:rsid wsp:val=&quot;00870D19&quot;/&gt;&lt;wsp:rsid wsp:val=&quot;0087236B&quot;/&gt;&lt;wsp:rsid wsp:val=&quot;00873753&quot;/&gt;&lt;wsp:rsid wsp:val=&quot;00874D08&quot;/&gt;&lt;wsp:rsid wsp:val=&quot;00874EE6&quot;/&gt;&lt;wsp:rsid wsp:val=&quot;00876071&quot;/&gt;&lt;wsp:rsid wsp:val=&quot;008766C6&quot;/&gt;&lt;wsp:rsid wsp:val=&quot;00883F6F&quot;/&gt;&lt;wsp:rsid wsp:val=&quot;00884900&quot;/&gt;&lt;wsp:rsid wsp:val=&quot;00884CEA&quot;/&gt;&lt;wsp:rsid wsp:val=&quot;00885095&quot;/&gt;&lt;wsp:rsid wsp:val=&quot;00886368&quot;/&gt;&lt;wsp:rsid wsp:val=&quot;00886424&quot;/&gt;&lt;wsp:rsid wsp:val=&quot;00887404&quot;/&gt;&lt;wsp:rsid wsp:val=&quot;00887ADF&quot;/&gt;&lt;wsp:rsid wsp:val=&quot;00890F18&quot;/&gt;&lt;wsp:rsid wsp:val=&quot;008914BB&quot;/&gt;&lt;wsp:rsid wsp:val=&quot;00892717&quot;/&gt;&lt;wsp:rsid wsp:val=&quot;0089346D&quot;/&gt;&lt;wsp:rsid wsp:val=&quot;00893DF2&quot;/&gt;&lt;wsp:rsid wsp:val=&quot;0089461F&quot;/&gt;&lt;wsp:rsid wsp:val=&quot;008949B7&quot;/&gt;&lt;wsp:rsid wsp:val=&quot;00895A39&quot;/&gt;&lt;wsp:rsid wsp:val=&quot;00896263&quot;/&gt;&lt;wsp:rsid wsp:val=&quot;008A6CF6&quot;/&gt;&lt;wsp:rsid wsp:val=&quot;008A7003&quot;/&gt;&lt;wsp:rsid wsp:val=&quot;008A729A&quot;/&gt;&lt;wsp:rsid wsp:val=&quot;008A795A&quot;/&gt;&lt;wsp:rsid wsp:val=&quot;008A7D13&quot;/&gt;&lt;wsp:rsid wsp:val=&quot;008B605C&quot;/&gt;&lt;wsp:rsid wsp:val=&quot;008C1880&quot;/&gt;&lt;wsp:rsid wsp:val=&quot;008C2C1C&quot;/&gt;&lt;wsp:rsid wsp:val=&quot;008D12B2&quot;/&gt;&lt;wsp:rsid wsp:val=&quot;008D3BE8&quot;/&gt;&lt;wsp:rsid wsp:val=&quot;008E15E2&quot;/&gt;&lt;wsp:rsid wsp:val=&quot;008E3172&quot;/&gt;&lt;wsp:rsid wsp:val=&quot;008E5A9D&quot;/&gt;&lt;wsp:rsid wsp:val=&quot;008E6801&quot;/&gt;&lt;wsp:rsid wsp:val=&quot;008E7F0F&quot;/&gt;&lt;wsp:rsid wsp:val=&quot;008E7F7F&quot;/&gt;&lt;wsp:rsid wsp:val=&quot;008F1A96&quot;/&gt;&lt;wsp:rsid wsp:val=&quot;008F307D&quot;/&gt;&lt;wsp:rsid wsp:val=&quot;008F41C2&quot;/&gt;&lt;wsp:rsid wsp:val=&quot;008F48F9&quot;/&gt;&lt;wsp:rsid wsp:val=&quot;008F4E20&quot;/&gt;&lt;wsp:rsid wsp:val=&quot;008F5B45&quot;/&gt;&lt;wsp:rsid wsp:val=&quot;00900016&quot;/&gt;&lt;wsp:rsid wsp:val=&quot;009010F9&quot;/&gt;&lt;wsp:rsid wsp:val=&quot;0090577A&quot;/&gt;&lt;wsp:rsid wsp:val=&quot;00906FC0&quot;/&gt;&lt;wsp:rsid wsp:val=&quot;00907DFD&quot;/&gt;&lt;wsp:rsid wsp:val=&quot;00911A9A&quot;/&gt;&lt;wsp:rsid wsp:val=&quot;009126D1&quot;/&gt;&lt;wsp:rsid wsp:val=&quot;00916594&quot;/&gt;&lt;wsp:rsid wsp:val=&quot;0091744C&quot;/&gt;&lt;wsp:rsid wsp:val=&quot;00920C78&quot;/&gt;&lt;wsp:rsid wsp:val=&quot;009267C2&quot;/&gt;&lt;wsp:rsid wsp:val=&quot;00926B2D&quot;/&gt;&lt;wsp:rsid wsp:val=&quot;00926FEE&quot;/&gt;&lt;wsp:rsid wsp:val=&quot;00931684&quot;/&gt;&lt;wsp:rsid wsp:val=&quot;00931A7F&quot;/&gt;&lt;wsp:rsid wsp:val=&quot;009333B4&quot;/&gt;&lt;wsp:rsid wsp:val=&quot;009368A6&quot;/&gt;&lt;wsp:rsid wsp:val=&quot;00937B04&quot;/&gt;&lt;wsp:rsid wsp:val=&quot;00940171&quot;/&gt;&lt;wsp:rsid wsp:val=&quot;00941B93&quot;/&gt;&lt;wsp:rsid wsp:val=&quot;009439EA&quot;/&gt;&lt;wsp:rsid wsp:val=&quot;0094467C&quot;/&gt;&lt;wsp:rsid wsp:val=&quot;00944A0C&quot;/&gt;&lt;wsp:rsid wsp:val=&quot;009458F7&quot;/&gt;&lt;wsp:rsid wsp:val=&quot;00946288&quot;/&gt;&lt;wsp:rsid wsp:val=&quot;0094631A&quot;/&gt;&lt;wsp:rsid wsp:val=&quot;00947784&quot;/&gt;&lt;wsp:rsid wsp:val=&quot;0095261A&quot;/&gt;&lt;wsp:rsid wsp:val=&quot;00952E10&quot;/&gt;&lt;wsp:rsid wsp:val=&quot;0095528D&quot;/&gt;&lt;wsp:rsid wsp:val=&quot;00955F76&quot;/&gt;&lt;wsp:rsid wsp:val=&quot;0095692D&quot;/&gt;&lt;wsp:rsid wsp:val=&quot;00956FBF&quot;/&gt;&lt;wsp:rsid wsp:val=&quot;0095705E&quot;/&gt;&lt;wsp:rsid wsp:val=&quot;0095785E&quot;/&gt;&lt;wsp:rsid wsp:val=&quot;00960D02&quot;/&gt;&lt;wsp:rsid wsp:val=&quot;009617B6&quot;/&gt;&lt;wsp:rsid wsp:val=&quot;00961FDA&quot;/&gt;&lt;wsp:rsid wsp:val=&quot;0096272A&quot;/&gt;&lt;wsp:rsid wsp:val=&quot;0096467D&quot;/&gt;&lt;wsp:rsid wsp:val=&quot;0096661D&quot;/&gt;&lt;wsp:rsid wsp:val=&quot;0097007B&quot;/&gt;&lt;wsp:rsid wsp:val=&quot;009704E8&quot;/&gt;&lt;wsp:rsid wsp:val=&quot;00970C34&quot;/&gt;&lt;wsp:rsid wsp:val=&quot;009729B6&quot;/&gt;&lt;wsp:rsid wsp:val=&quot;00972E2F&quot;/&gt;&lt;wsp:rsid wsp:val=&quot;00972E4C&quot;/&gt;&lt;wsp:rsid wsp:val=&quot;009730A1&quot;/&gt;&lt;wsp:rsid wsp:val=&quot;009733A0&quot;/&gt;&lt;wsp:rsid wsp:val=&quot;009752C1&quot;/&gt;&lt;wsp:rsid wsp:val=&quot;009762DB&quot;/&gt;&lt;wsp:rsid wsp:val=&quot;009765F2&quot;/&gt;&lt;wsp:rsid wsp:val=&quot;009768D8&quot;/&gt;&lt;wsp:rsid wsp:val=&quot;00976BDA&quot;/&gt;&lt;wsp:rsid wsp:val=&quot;00977024&quot;/&gt;&lt;wsp:rsid wsp:val=&quot;009770E3&quot;/&gt;&lt;wsp:rsid wsp:val=&quot;00977376&quot;/&gt;&lt;wsp:rsid wsp:val=&quot;00980238&quot;/&gt;&lt;wsp:rsid wsp:val=&quot;00982347&quot;/&gt;&lt;wsp:rsid wsp:val=&quot;00983120&quot;/&gt;&lt;wsp:rsid wsp:val=&quot;0098342B&quot;/&gt;&lt;wsp:rsid wsp:val=&quot;0098617F&quot;/&gt;&lt;wsp:rsid wsp:val=&quot;00986572&quot;/&gt;&lt;wsp:rsid wsp:val=&quot;00986B70&quot;/&gt;&lt;wsp:rsid wsp:val=&quot;00987528&quot;/&gt;&lt;wsp:rsid wsp:val=&quot;0098753B&quot;/&gt;&lt;wsp:rsid wsp:val=&quot;00987D1A&quot;/&gt;&lt;wsp:rsid wsp:val=&quot;0099164A&quot;/&gt;&lt;wsp:rsid wsp:val=&quot;00991B45&quot;/&gt;&lt;wsp:rsid wsp:val=&quot;00991FE5&quot;/&gt;&lt;wsp:rsid wsp:val=&quot;00992114&quot;/&gt;&lt;wsp:rsid wsp:val=&quot;0099326F&quot;/&gt;&lt;wsp:rsid wsp:val=&quot;00993CC2&quot;/&gt;&lt;wsp:rsid wsp:val=&quot;009940DE&quot;/&gt;&lt;wsp:rsid wsp:val=&quot;00995A44&quot;/&gt;&lt;wsp:rsid wsp:val=&quot;00997355&quot;/&gt;&lt;wsp:rsid wsp:val=&quot;00997951&quot;/&gt;&lt;wsp:rsid wsp:val=&quot;009A03B5&quot;/&gt;&lt;wsp:rsid wsp:val=&quot;009A0CD2&quot;/&gt;&lt;wsp:rsid wsp:val=&quot;009A166B&quot;/&gt;&lt;wsp:rsid wsp:val=&quot;009A1C44&quot;/&gt;&lt;wsp:rsid wsp:val=&quot;009A2159&quot;/&gt;&lt;wsp:rsid wsp:val=&quot;009A2C5A&quot;/&gt;&lt;wsp:rsid wsp:val=&quot;009A42DC&quot;/&gt;&lt;wsp:rsid wsp:val=&quot;009A63B1&quot;/&gt;&lt;wsp:rsid wsp:val=&quot;009A6839&quot;/&gt;&lt;wsp:rsid wsp:val=&quot;009B04F1&quot;/&gt;&lt;wsp:rsid wsp:val=&quot;009B15F8&quot;/&gt;&lt;wsp:rsid wsp:val=&quot;009B34E3&quot;/&gt;&lt;wsp:rsid wsp:val=&quot;009B7E49&quot;/&gt;&lt;wsp:rsid wsp:val=&quot;009C03D9&quot;/&gt;&lt;wsp:rsid wsp:val=&quot;009C0768&quot;/&gt;&lt;wsp:rsid wsp:val=&quot;009C1948&quot;/&gt;&lt;wsp:rsid wsp:val=&quot;009C3B2B&quot;/&gt;&lt;wsp:rsid wsp:val=&quot;009C5997&quot;/&gt;&lt;wsp:rsid wsp:val=&quot;009C6F31&quot;/&gt;&lt;wsp:rsid wsp:val=&quot;009C735A&quot;/&gt;&lt;wsp:rsid wsp:val=&quot;009D02D9&quot;/&gt;&lt;wsp:rsid wsp:val=&quot;009D53A1&quot;/&gt;&lt;wsp:rsid wsp:val=&quot;009E19B5&quot;/&gt;&lt;wsp:rsid wsp:val=&quot;009E2B3D&quot;/&gt;&lt;wsp:rsid wsp:val=&quot;009E3F2C&quot;/&gt;&lt;wsp:rsid wsp:val=&quot;009E4C56&quot;/&gt;&lt;wsp:rsid wsp:val=&quot;009F1177&quot;/&gt;&lt;wsp:rsid wsp:val=&quot;009F11C4&quot;/&gt;&lt;wsp:rsid wsp:val=&quot;009F23B4&quot;/&gt;&lt;wsp:rsid wsp:val=&quot;00A05E03&quot;/&gt;&lt;wsp:rsid wsp:val=&quot;00A0746F&quot;/&gt;&lt;wsp:rsid wsp:val=&quot;00A07680&quot;/&gt;&lt;wsp:rsid wsp:val=&quot;00A07D8A&quot;/&gt;&lt;wsp:rsid wsp:val=&quot;00A10311&quot;/&gt;&lt;wsp:rsid wsp:val=&quot;00A11310&quot;/&gt;&lt;wsp:rsid wsp:val=&quot;00A12CC0&quot;/&gt;&lt;wsp:rsid wsp:val=&quot;00A12DCD&quot;/&gt;&lt;wsp:rsid wsp:val=&quot;00A17EB5&quot;/&gt;&lt;wsp:rsid wsp:val=&quot;00A2226F&quot;/&gt;&lt;wsp:rsid wsp:val=&quot;00A22A95&quot;/&gt;&lt;wsp:rsid wsp:val=&quot;00A232AF&quot;/&gt;&lt;wsp:rsid wsp:val=&quot;00A2349C&quot;/&gt;&lt;wsp:rsid wsp:val=&quot;00A23A33&quot;/&gt;&lt;wsp:rsid wsp:val=&quot;00A24E4D&quot;/&gt;&lt;wsp:rsid wsp:val=&quot;00A25030&quot;/&gt;&lt;wsp:rsid wsp:val=&quot;00A26B7F&quot;/&gt;&lt;wsp:rsid wsp:val=&quot;00A27375&quot;/&gt;&lt;wsp:rsid wsp:val=&quot;00A30FAE&quot;/&gt;&lt;wsp:rsid wsp:val=&quot;00A31A72&quot;/&gt;&lt;wsp:rsid wsp:val=&quot;00A344C9&quot;/&gt;&lt;wsp:rsid wsp:val=&quot;00A34B9B&quot;/&gt;&lt;wsp:rsid wsp:val=&quot;00A35816&quot;/&gt;&lt;wsp:rsid wsp:val=&quot;00A37B13&quot;/&gt;&lt;wsp:rsid wsp:val=&quot;00A42573&quot;/&gt;&lt;wsp:rsid wsp:val=&quot;00A42874&quot;/&gt;&lt;wsp:rsid wsp:val=&quot;00A44981&quot;/&gt;&lt;wsp:rsid wsp:val=&quot;00A46793&quot;/&gt;&lt;wsp:rsid wsp:val=&quot;00A471B6&quot;/&gt;&lt;wsp:rsid wsp:val=&quot;00A479D9&quot;/&gt;&lt;wsp:rsid wsp:val=&quot;00A47AFD&quot;/&gt;&lt;wsp:rsid wsp:val=&quot;00A5076C&quot;/&gt;&lt;wsp:rsid wsp:val=&quot;00A51CE0&quot;/&gt;&lt;wsp:rsid wsp:val=&quot;00A52051&quot;/&gt;&lt;wsp:rsid wsp:val=&quot;00A52933&quot;/&gt;&lt;wsp:rsid wsp:val=&quot;00A533CC&quot;/&gt;&lt;wsp:rsid wsp:val=&quot;00A55483&quot;/&gt;&lt;wsp:rsid wsp:val=&quot;00A5620B&quot;/&gt;&lt;wsp:rsid wsp:val=&quot;00A56E9D&quot;/&gt;&lt;wsp:rsid wsp:val=&quot;00A57EB7&quot;/&gt;&lt;wsp:rsid wsp:val=&quot;00A60610&quot;/&gt;&lt;wsp:rsid wsp:val=&quot;00A60795&quot;/&gt;&lt;wsp:rsid wsp:val=&quot;00A61052&quot;/&gt;&lt;wsp:rsid wsp:val=&quot;00A624D0&quot;/&gt;&lt;wsp:rsid wsp:val=&quot;00A62C75&quot;/&gt;&lt;wsp:rsid wsp:val=&quot;00A62F03&quot;/&gt;&lt;wsp:rsid wsp:val=&quot;00A63B59&quot;/&gt;&lt;wsp:rsid wsp:val=&quot;00A6445D&quot;/&gt;&lt;wsp:rsid wsp:val=&quot;00A64816&quot;/&gt;&lt;wsp:rsid wsp:val=&quot;00A64D58&quot;/&gt;&lt;wsp:rsid wsp:val=&quot;00A657D1&quot;/&gt;&lt;wsp:rsid wsp:val=&quot;00A72644&quot;/&gt;&lt;wsp:rsid wsp:val=&quot;00A742DA&quot;/&gt;&lt;wsp:rsid wsp:val=&quot;00A7763E&quot;/&gt;&lt;wsp:rsid wsp:val=&quot;00A77FD6&quot;/&gt;&lt;wsp:rsid wsp:val=&quot;00A8089E&quot;/&gt;&lt;wsp:rsid wsp:val=&quot;00A814EC&quot;/&gt;&lt;wsp:rsid wsp:val=&quot;00A820F3&quot;/&gt;&lt;wsp:rsid wsp:val=&quot;00A82729&quot;/&gt;&lt;wsp:rsid wsp:val=&quot;00A82892&quot;/&gt;&lt;wsp:rsid wsp:val=&quot;00A82F84&quot;/&gt;&lt;wsp:rsid wsp:val=&quot;00A83992&quot;/&gt;&lt;wsp:rsid wsp:val=&quot;00A83B36&quot;/&gt;&lt;wsp:rsid wsp:val=&quot;00A85173&quot;/&gt;&lt;wsp:rsid wsp:val=&quot;00A92CF8&quot;/&gt;&lt;wsp:rsid wsp:val=&quot;00A95476&quot;/&gt;&lt;wsp:rsid wsp:val=&quot;00A955DB&quot;/&gt;&lt;wsp:rsid wsp:val=&quot;00A95887&quot;/&gt;&lt;wsp:rsid wsp:val=&quot;00AA06E4&quot;/&gt;&lt;wsp:rsid wsp:val=&quot;00AA0EEE&quot;/&gt;&lt;wsp:rsid wsp:val=&quot;00AA1A3D&quot;/&gt;&lt;wsp:rsid wsp:val=&quot;00AA2781&quot;/&gt;&lt;wsp:rsid wsp:val=&quot;00AA3AC9&quot;/&gt;&lt;wsp:rsid wsp:val=&quot;00AB0D6E&quot;/&gt;&lt;wsp:rsid wsp:val=&quot;00AB2C6C&quot;/&gt;&lt;wsp:rsid wsp:val=&quot;00AB313F&quot;/&gt;&lt;wsp:rsid wsp:val=&quot;00AB4051&quot;/&gt;&lt;wsp:rsid wsp:val=&quot;00AB4625&quot;/&gt;&lt;wsp:rsid wsp:val=&quot;00AB4F51&quot;/&gt;&lt;wsp:rsid wsp:val=&quot;00AB5734&quot;/&gt;&lt;wsp:rsid wsp:val=&quot;00AB624B&quot;/&gt;&lt;wsp:rsid wsp:val=&quot;00AB7ADB&quot;/&gt;&lt;wsp:rsid wsp:val=&quot;00AC1AD3&quot;/&gt;&lt;wsp:rsid wsp:val=&quot;00AC1F16&quot;/&gt;&lt;wsp:rsid wsp:val=&quot;00AC2F54&quot;/&gt;&lt;wsp:rsid wsp:val=&quot;00AC4834&quot;/&gt;&lt;wsp:rsid wsp:val=&quot;00AC6011&quot;/&gt;&lt;wsp:rsid wsp:val=&quot;00AD2353&quot;/&gt;&lt;wsp:rsid wsp:val=&quot;00AD3211&quot;/&gt;&lt;wsp:rsid wsp:val=&quot;00AD7A6A&quot;/&gt;&lt;wsp:rsid wsp:val=&quot;00AD7C39&quot;/&gt;&lt;wsp:rsid wsp:val=&quot;00AE0B57&quot;/&gt;&lt;wsp:rsid wsp:val=&quot;00AE2EA9&quot;/&gt;&lt;wsp:rsid wsp:val=&quot;00AE4158&quot;/&gt;&lt;wsp:rsid wsp:val=&quot;00AE4353&quot;/&gt;&lt;wsp:rsid wsp:val=&quot;00AE5181&quot;/&gt;&lt;wsp:rsid wsp:val=&quot;00AE5A8A&quot;/&gt;&lt;wsp:rsid wsp:val=&quot;00AE7214&quot;/&gt;&lt;wsp:rsid wsp:val=&quot;00AE73BD&quot;/&gt;&lt;wsp:rsid wsp:val=&quot;00AE7AE4&quot;/&gt;&lt;wsp:rsid wsp:val=&quot;00AF1B86&quot;/&gt;&lt;wsp:rsid wsp:val=&quot;00AF5608&quot;/&gt;&lt;wsp:rsid wsp:val=&quot;00AF59DF&quot;/&gt;&lt;wsp:rsid wsp:val=&quot;00AF5CDD&quot;/&gt;&lt;wsp:rsid wsp:val=&quot;00AF7311&quot;/&gt;&lt;wsp:rsid wsp:val=&quot;00B00AD6&quot;/&gt;&lt;wsp:rsid wsp:val=&quot;00B01BA0&quot;/&gt;&lt;wsp:rsid wsp:val=&quot;00B0427A&quot;/&gt;&lt;wsp:rsid wsp:val=&quot;00B048D0&quot;/&gt;&lt;wsp:rsid wsp:val=&quot;00B0630C&quot;/&gt;&lt;wsp:rsid wsp:val=&quot;00B06AF8&quot;/&gt;&lt;wsp:rsid wsp:val=&quot;00B07732&quot;/&gt;&lt;wsp:rsid wsp:val=&quot;00B1158A&quot;/&gt;&lt;wsp:rsid wsp:val=&quot;00B12BD4&quot;/&gt;&lt;wsp:rsid wsp:val=&quot;00B13387&quot;/&gt;&lt;wsp:rsid wsp:val=&quot;00B14741&quot;/&gt;&lt;wsp:rsid wsp:val=&quot;00B151E6&quot;/&gt;&lt;wsp:rsid wsp:val=&quot;00B1768C&quot;/&gt;&lt;wsp:rsid wsp:val=&quot;00B21D95&quot;/&gt;&lt;wsp:rsid wsp:val=&quot;00B22AF1&quot;/&gt;&lt;wsp:rsid wsp:val=&quot;00B24006&quot;/&gt;&lt;wsp:rsid wsp:val=&quot;00B248FD&quot;/&gt;&lt;wsp:rsid wsp:val=&quot;00B2577F&quot;/&gt;&lt;wsp:rsid wsp:val=&quot;00B26DAB&quot;/&gt;&lt;wsp:rsid wsp:val=&quot;00B3283D&quot;/&gt;&lt;wsp:rsid wsp:val=&quot;00B32F8B&quot;/&gt;&lt;wsp:rsid wsp:val=&quot;00B336C9&quot;/&gt;&lt;wsp:rsid wsp:val=&quot;00B36E83&quot;/&gt;&lt;wsp:rsid wsp:val=&quot;00B37927&quot;/&gt;&lt;wsp:rsid wsp:val=&quot;00B37EE0&quot;/&gt;&lt;wsp:rsid wsp:val=&quot;00B409AC&quot;/&gt;&lt;wsp:rsid wsp:val=&quot;00B42228&quot;/&gt;&lt;wsp:rsid wsp:val=&quot;00B42587&quot;/&gt;&lt;wsp:rsid wsp:val=&quot;00B43265&quot;/&gt;&lt;wsp:rsid wsp:val=&quot;00B4432A&quot;/&gt;&lt;wsp:rsid wsp:val=&quot;00B45F8D&quot;/&gt;&lt;wsp:rsid wsp:val=&quot;00B469DD&quot;/&gt;&lt;wsp:rsid wsp:val=&quot;00B477FA&quot;/&gt;&lt;wsp:rsid wsp:val=&quot;00B50470&quot;/&gt;&lt;wsp:rsid wsp:val=&quot;00B5168D&quot;/&gt;&lt;wsp:rsid wsp:val=&quot;00B5178C&quot;/&gt;&lt;wsp:rsid wsp:val=&quot;00B52F7C&quot;/&gt;&lt;wsp:rsid wsp:val=&quot;00B551E1&quot;/&gt;&lt;wsp:rsid wsp:val=&quot;00B57C68&quot;/&gt;&lt;wsp:rsid wsp:val=&quot;00B60594&quot;/&gt;&lt;wsp:rsid wsp:val=&quot;00B6198F&quot;/&gt;&lt;wsp:rsid wsp:val=&quot;00B62E93&quot;/&gt;&lt;wsp:rsid wsp:val=&quot;00B62F95&quot;/&gt;&lt;wsp:rsid wsp:val=&quot;00B63B15&quot;/&gt;&lt;wsp:rsid wsp:val=&quot;00B63CD1&quot;/&gt;&lt;wsp:rsid wsp:val=&quot;00B65610&quot;/&gt;&lt;wsp:rsid wsp:val=&quot;00B65773&quot;/&gt;&lt;wsp:rsid wsp:val=&quot;00B661EA&quot;/&gt;&lt;wsp:rsid wsp:val=&quot;00B6678A&quot;/&gt;&lt;wsp:rsid wsp:val=&quot;00B74FEE&quot;/&gt;&lt;wsp:rsid wsp:val=&quot;00B753BB&quot;/&gt;&lt;wsp:rsid wsp:val=&quot;00B75A8D&quot;/&gt;&lt;wsp:rsid wsp:val=&quot;00B82B44&quot;/&gt;&lt;wsp:rsid wsp:val=&quot;00B86637&quot;/&gt;&lt;wsp:rsid wsp:val=&quot;00B925C7&quot;/&gt;&lt;wsp:rsid wsp:val=&quot;00B93C23&quot;/&gt;&lt;wsp:rsid wsp:val=&quot;00B94BCE&quot;/&gt;&lt;wsp:rsid wsp:val=&quot;00B955AD&quot;/&gt;&lt;wsp:rsid wsp:val=&quot;00B95901&quot;/&gt;&lt;wsp:rsid wsp:val=&quot;00B96292&quot;/&gt;&lt;wsp:rsid wsp:val=&quot;00B973AC&quot;/&gt;&lt;wsp:rsid wsp:val=&quot;00B979D7&quot;/&gt;&lt;wsp:rsid wsp:val=&quot;00BA0785&quot;/&gt;&lt;wsp:rsid wsp:val=&quot;00BA3415&quot;/&gt;&lt;wsp:rsid wsp:val=&quot;00BA3CBC&quot;/&gt;&lt;wsp:rsid wsp:val=&quot;00BB0339&quot;/&gt;&lt;wsp:rsid wsp:val=&quot;00BB34FF&quot;/&gt;&lt;wsp:rsid wsp:val=&quot;00BB4286&quot;/&gt;&lt;wsp:rsid wsp:val=&quot;00BB629E&quot;/&gt;&lt;wsp:rsid wsp:val=&quot;00BB7930&quot;/&gt;&lt;wsp:rsid wsp:val=&quot;00BC2A7E&quot;/&gt;&lt;wsp:rsid wsp:val=&quot;00BC2AE4&quot;/&gt;&lt;wsp:rsid wsp:val=&quot;00BC40C3&quot;/&gt;&lt;wsp:rsid wsp:val=&quot;00BD00AB&quot;/&gt;&lt;wsp:rsid wsp:val=&quot;00BD1503&quot;/&gt;&lt;wsp:rsid wsp:val=&quot;00BD32C0&quot;/&gt;&lt;wsp:rsid wsp:val=&quot;00BD59F9&quot;/&gt;&lt;wsp:rsid wsp:val=&quot;00BD70D9&quot;/&gt;&lt;wsp:rsid wsp:val=&quot;00BD7E84&quot;/&gt;&lt;wsp:rsid wsp:val=&quot;00BE0C8F&quot;/&gt;&lt;wsp:rsid wsp:val=&quot;00BE0DED&quot;/&gt;&lt;wsp:rsid wsp:val=&quot;00BE1F61&quot;/&gt;&lt;wsp:rsid wsp:val=&quot;00BE2D24&quot;/&gt;&lt;wsp:rsid wsp:val=&quot;00BE4889&quot;/&gt;&lt;wsp:rsid wsp:val=&quot;00BE69F0&quot;/&gt;&lt;wsp:rsid wsp:val=&quot;00BE70E7&quot;/&gt;&lt;wsp:rsid wsp:val=&quot;00BF07C1&quot;/&gt;&lt;wsp:rsid wsp:val=&quot;00BF3CD0&quot;/&gt;&lt;wsp:rsid wsp:val=&quot;00BF532F&quot;/&gt;&lt;wsp:rsid wsp:val=&quot;00BF542C&quot;/&gt;&lt;wsp:rsid wsp:val=&quot;00BF68FB&quot;/&gt;&lt;wsp:rsid wsp:val=&quot;00BF7C2E&quot;/&gt;&lt;wsp:rsid wsp:val=&quot;00C045EC&quot;/&gt;&lt;wsp:rsid wsp:val=&quot;00C058D6&quot;/&gt;&lt;wsp:rsid wsp:val=&quot;00C05B16&quot;/&gt;&lt;wsp:rsid wsp:val=&quot;00C10B36&quot;/&gt;&lt;wsp:rsid wsp:val=&quot;00C135FD&quot;/&gt;&lt;wsp:rsid wsp:val=&quot;00C13DFC&quot;/&gt;&lt;wsp:rsid wsp:val=&quot;00C1604C&quot;/&gt;&lt;wsp:rsid wsp:val=&quot;00C217B8&quot;/&gt;&lt;wsp:rsid wsp:val=&quot;00C22343&quot;/&gt;&lt;wsp:rsid wsp:val=&quot;00C22F42&quot;/&gt;&lt;wsp:rsid wsp:val=&quot;00C232AD&quot;/&gt;&lt;wsp:rsid wsp:val=&quot;00C2332A&quot;/&gt;&lt;wsp:rsid wsp:val=&quot;00C264EC&quot;/&gt;&lt;wsp:rsid wsp:val=&quot;00C27903&quot;/&gt;&lt;wsp:rsid wsp:val=&quot;00C2794D&quot;/&gt;&lt;wsp:rsid wsp:val=&quot;00C3140F&quot;/&gt;&lt;wsp:rsid wsp:val=&quot;00C31535&quot;/&gt;&lt;wsp:rsid wsp:val=&quot;00C31C7C&quot;/&gt;&lt;wsp:rsid wsp:val=&quot;00C32CE9&quot;/&gt;&lt;wsp:rsid wsp:val=&quot;00C3530E&quot;/&gt;&lt;wsp:rsid wsp:val=&quot;00C35360&quot;/&gt;&lt;wsp:rsid wsp:val=&quot;00C452F6&quot;/&gt;&lt;wsp:rsid wsp:val=&quot;00C45920&quot;/&gt;&lt;wsp:rsid wsp:val=&quot;00C47DA9&quot;/&gt;&lt;wsp:rsid wsp:val=&quot;00C50AF3&quot;/&gt;&lt;wsp:rsid wsp:val=&quot;00C50CDD&quot;/&gt;&lt;wsp:rsid wsp:val=&quot;00C52E7C&quot;/&gt;&lt;wsp:rsid wsp:val=&quot;00C5327B&quot;/&gt;&lt;wsp:rsid wsp:val=&quot;00C53D99&quot;/&gt;&lt;wsp:rsid wsp:val=&quot;00C554D3&quot;/&gt;&lt;wsp:rsid wsp:val=&quot;00C57082&quot;/&gt;&lt;wsp:rsid wsp:val=&quot;00C60E9B&quot;/&gt;&lt;wsp:rsid wsp:val=&quot;00C61134&quot;/&gt;&lt;wsp:rsid wsp:val=&quot;00C6146D&quot;/&gt;&lt;wsp:rsid wsp:val=&quot;00C63B12&quot;/&gt;&lt;wsp:rsid wsp:val=&quot;00C703C5&quot;/&gt;&lt;wsp:rsid wsp:val=&quot;00C7055F&quot;/&gt;&lt;wsp:rsid wsp:val=&quot;00C70842&quot;/&gt;&lt;wsp:rsid wsp:val=&quot;00C7531E&quot;/&gt;&lt;wsp:rsid wsp:val=&quot;00C832E0&quot;/&gt;&lt;wsp:rsid wsp:val=&quot;00C835C2&quot;/&gt;&lt;wsp:rsid wsp:val=&quot;00C856FA&quot;/&gt;&lt;wsp:rsid wsp:val=&quot;00C87457&quot;/&gt;&lt;wsp:rsid wsp:val=&quot;00C908AF&quot;/&gt;&lt;wsp:rsid wsp:val=&quot;00C912D0&quot;/&gt;&lt;wsp:rsid wsp:val=&quot;00C91694&quot;/&gt;&lt;wsp:rsid wsp:val=&quot;00C91CDE&quot;/&gt;&lt;wsp:rsid wsp:val=&quot;00C935BB&quot;/&gt;&lt;wsp:rsid wsp:val=&quot;00C93D2A&quot;/&gt;&lt;wsp:rsid wsp:val=&quot;00C96AD3&quot;/&gt;&lt;wsp:rsid wsp:val=&quot;00CA003F&quot;/&gt;&lt;wsp:rsid wsp:val=&quot;00CA12D0&quot;/&gt;&lt;wsp:rsid wsp:val=&quot;00CA15A6&quot;/&gt;&lt;wsp:rsid wsp:val=&quot;00CA2D78&quot;/&gt;&lt;wsp:rsid wsp:val=&quot;00CA325D&quot;/&gt;&lt;wsp:rsid wsp:val=&quot;00CA362D&quot;/&gt;&lt;wsp:rsid wsp:val=&quot;00CA3DB4&quot;/&gt;&lt;wsp:rsid wsp:val=&quot;00CA49FD&quot;/&gt;&lt;wsp:rsid wsp:val=&quot;00CA79D4&quot;/&gt;&lt;wsp:rsid wsp:val=&quot;00CB0CD4&quot;/&gt;&lt;wsp:rsid wsp:val=&quot;00CB2D16&quot;/&gt;&lt;wsp:rsid wsp:val=&quot;00CB317D&quot;/&gt;&lt;wsp:rsid wsp:val=&quot;00CB739A&quot;/&gt;&lt;wsp:rsid wsp:val=&quot;00CB7FFC&quot;/&gt;&lt;wsp:rsid wsp:val=&quot;00CC0DB7&quot;/&gt;&lt;wsp:rsid wsp:val=&quot;00CC2191&quot;/&gt;&lt;wsp:rsid wsp:val=&quot;00CC3C9D&quot;/&gt;&lt;wsp:rsid wsp:val=&quot;00CC4265&quot;/&gt;&lt;wsp:rsid wsp:val=&quot;00CC7D97&quot;/&gt;&lt;wsp:rsid wsp:val=&quot;00CD0F3A&quot;/&gt;&lt;wsp:rsid wsp:val=&quot;00CD10B9&quot;/&gt;&lt;wsp:rsid wsp:val=&quot;00CD28AD&quot;/&gt;&lt;wsp:rsid wsp:val=&quot;00CD4ABD&quot;/&gt;&lt;wsp:rsid wsp:val=&quot;00CD4C76&quot;/&gt;&lt;wsp:rsid wsp:val=&quot;00CD50A7&quot;/&gt;&lt;wsp:rsid wsp:val=&quot;00CD615D&quot;/&gt;&lt;wsp:rsid wsp:val=&quot;00CD6640&quot;/&gt;&lt;wsp:rsid wsp:val=&quot;00CE019F&quot;/&gt;&lt;wsp:rsid wsp:val=&quot;00CE0C16&quot;/&gt;&lt;wsp:rsid wsp:val=&quot;00CE5BC5&quot;/&gt;&lt;wsp:rsid wsp:val=&quot;00CE7813&quot;/&gt;&lt;wsp:rsid wsp:val=&quot;00CF0336&quot;/&gt;&lt;wsp:rsid wsp:val=&quot;00CF1377&quot;/&gt;&lt;wsp:rsid wsp:val=&quot;00CF19F7&quot;/&gt;&lt;wsp:rsid wsp:val=&quot;00CF4793&quot;/&gt;&lt;wsp:rsid wsp:val=&quot;00CF6A49&quot;/&gt;&lt;wsp:rsid wsp:val=&quot;00CF6C91&quot;/&gt;&lt;wsp:rsid wsp:val=&quot;00D00521&quot;/&gt;&lt;wsp:rsid wsp:val=&quot;00D00929&quot;/&gt;&lt;wsp:rsid wsp:val=&quot;00D01231&quot;/&gt;&lt;wsp:rsid wsp:val=&quot;00D019A7&quot;/&gt;&lt;wsp:rsid wsp:val=&quot;00D02433&quot;/&gt;&lt;wsp:rsid wsp:val=&quot;00D0293B&quot;/&gt;&lt;wsp:rsid wsp:val=&quot;00D02FC7&quot;/&gt;&lt;wsp:rsid wsp:val=&quot;00D03952&quot;/&gt;&lt;wsp:rsid wsp:val=&quot;00D03BD8&quot;/&gt;&lt;wsp:rsid wsp:val=&quot;00D0627A&quot;/&gt;&lt;wsp:rsid wsp:val=&quot;00D07A5D&quot;/&gt;&lt;wsp:rsid wsp:val=&quot;00D11138&quot;/&gt;&lt;wsp:rsid wsp:val=&quot;00D12527&quot;/&gt;&lt;wsp:rsid wsp:val=&quot;00D134C0&quot;/&gt;&lt;wsp:rsid wsp:val=&quot;00D14649&quot;/&gt;&lt;wsp:rsid wsp:val=&quot;00D14F9B&quot;/&gt;&lt;wsp:rsid wsp:val=&quot;00D15178&quot;/&gt;&lt;wsp:rsid wsp:val=&quot;00D20B6C&quot;/&gt;&lt;wsp:rsid wsp:val=&quot;00D219F3&quot;/&gt;&lt;wsp:rsid wsp:val=&quot;00D23461&quot;/&gt;&lt;wsp:rsid wsp:val=&quot;00D26E42&quot;/&gt;&lt;wsp:rsid wsp:val=&quot;00D2790E&quot;/&gt;&lt;wsp:rsid wsp:val=&quot;00D30ABE&quot;/&gt;&lt;wsp:rsid wsp:val=&quot;00D30ED7&quot;/&gt;&lt;wsp:rsid wsp:val=&quot;00D31A65&quot;/&gt;&lt;wsp:rsid wsp:val=&quot;00D33872&quot;/&gt;&lt;wsp:rsid wsp:val=&quot;00D34D05&quot;/&gt;&lt;wsp:rsid wsp:val=&quot;00D356C5&quot;/&gt;&lt;wsp:rsid wsp:val=&quot;00D364F0&quot;/&gt;&lt;wsp:rsid wsp:val=&quot;00D36596&quot;/&gt;&lt;wsp:rsid wsp:val=&quot;00D3716C&quot;/&gt;&lt;wsp:rsid wsp:val=&quot;00D41F22&quot;/&gt;&lt;wsp:rsid wsp:val=&quot;00D42404&quot;/&gt;&lt;wsp:rsid wsp:val=&quot;00D425E7&quot;/&gt;&lt;wsp:rsid wsp:val=&quot;00D42E47&quot;/&gt;&lt;wsp:rsid wsp:val=&quot;00D465B4&quot;/&gt;&lt;wsp:rsid wsp:val=&quot;00D51592&quot;/&gt;&lt;wsp:rsid wsp:val=&quot;00D51860&quot;/&gt;&lt;wsp:rsid wsp:val=&quot;00D551CA&quot;/&gt;&lt;wsp:rsid wsp:val=&quot;00D5695B&quot;/&gt;&lt;wsp:rsid wsp:val=&quot;00D56996&quot;/&gt;&lt;wsp:rsid wsp:val=&quot;00D60F86&quot;/&gt;&lt;wsp:rsid wsp:val=&quot;00D613FA&quot;/&gt;&lt;wsp:rsid wsp:val=&quot;00D62527&quot;/&gt;&lt;wsp:rsid wsp:val=&quot;00D62A47&quot;/&gt;&lt;wsp:rsid wsp:val=&quot;00D650F5&quot;/&gt;&lt;wsp:rsid wsp:val=&quot;00D65CEB&quot;/&gt;&lt;wsp:rsid wsp:val=&quot;00D65D4F&quot;/&gt;&lt;wsp:rsid wsp:val=&quot;00D665BA&quot;/&gt;&lt;wsp:rsid wsp:val=&quot;00D667C4&quot;/&gt;&lt;wsp:rsid wsp:val=&quot;00D6726F&quot;/&gt;&lt;wsp:rsid wsp:val=&quot;00D737C5&quot;/&gt;&lt;wsp:rsid wsp:val=&quot;00D737DB&quot;/&gt;&lt;wsp:rsid wsp:val=&quot;00D74678&quot;/&gt;&lt;wsp:rsid wsp:val=&quot;00D7469B&quot;/&gt;&lt;wsp:rsid wsp:val=&quot;00D76304&quot;/&gt;&lt;wsp:rsid wsp:val=&quot;00D84909&quot;/&gt;&lt;wsp:rsid wsp:val=&quot;00D84FAA&quot;/&gt;&lt;wsp:rsid wsp:val=&quot;00D872E9&quot;/&gt;&lt;wsp:rsid wsp:val=&quot;00D87A8D&quot;/&gt;&lt;wsp:rsid wsp:val=&quot;00D87CD0&quot;/&gt;&lt;wsp:rsid wsp:val=&quot;00D90E48&quot;/&gt;&lt;wsp:rsid wsp:val=&quot;00D913A6&quot;/&gt;&lt;wsp:rsid wsp:val=&quot;00D942F3&quot;/&gt;&lt;wsp:rsid wsp:val=&quot;00D966E5&quot;/&gt;&lt;wsp:rsid wsp:val=&quot;00D97401&quot;/&gt;&lt;wsp:rsid wsp:val=&quot;00DA064C&quot;/&gt;&lt;wsp:rsid wsp:val=&quot;00DA07F5&quot;/&gt;&lt;wsp:rsid wsp:val=&quot;00DA1696&quot;/&gt;&lt;wsp:rsid wsp:val=&quot;00DA1700&quot;/&gt;&lt;wsp:rsid wsp:val=&quot;00DA3F3F&quot;/&gt;&lt;wsp:rsid wsp:val=&quot;00DA4C2E&quot;/&gt;&lt;wsp:rsid wsp:val=&quot;00DA4D1C&quot;/&gt;&lt;wsp:rsid wsp:val=&quot;00DA6297&quot;/&gt;&lt;wsp:rsid wsp:val=&quot;00DA68FD&quot;/&gt;&lt;wsp:rsid wsp:val=&quot;00DA6E64&quot;/&gt;&lt;wsp:rsid wsp:val=&quot;00DB20D4&quot;/&gt;&lt;wsp:rsid wsp:val=&quot;00DB2F5D&quot;/&gt;&lt;wsp:rsid wsp:val=&quot;00DB4915&quot;/&gt;&lt;wsp:rsid wsp:val=&quot;00DB58B3&quot;/&gt;&lt;wsp:rsid wsp:val=&quot;00DB660F&quot;/&gt;&lt;wsp:rsid wsp:val=&quot;00DC0261&quot;/&gt;&lt;wsp:rsid wsp:val=&quot;00DC0296&quot;/&gt;&lt;wsp:rsid wsp:val=&quot;00DC3446&quot;/&gt;&lt;wsp:rsid wsp:val=&quot;00DC3555&quot;/&gt;&lt;wsp:rsid wsp:val=&quot;00DC6BF2&quot;/&gt;&lt;wsp:rsid wsp:val=&quot;00DC6F6F&quot;/&gt;&lt;wsp:rsid wsp:val=&quot;00DD10C1&quot;/&gt;&lt;wsp:rsid wsp:val=&quot;00DD12AB&quot;/&gt;&lt;wsp:rsid wsp:val=&quot;00DD12BD&quot;/&gt;&lt;wsp:rsid wsp:val=&quot;00DD133A&quot;/&gt;&lt;wsp:rsid wsp:val=&quot;00DD4073&quot;/&gt;&lt;wsp:rsid wsp:val=&quot;00DD442D&quot;/&gt;&lt;wsp:rsid wsp:val=&quot;00DD4967&quot;/&gt;&lt;wsp:rsid wsp:val=&quot;00DD53DD&quot;/&gt;&lt;wsp:rsid wsp:val=&quot;00DD75A9&quot;/&gt;&lt;wsp:rsid wsp:val=&quot;00DD7BB3&quot;/&gt;&lt;wsp:rsid wsp:val=&quot;00DD7F15&quot;/&gt;&lt;wsp:rsid wsp:val=&quot;00DE1E1B&quot;/&gt;&lt;wsp:rsid wsp:val=&quot;00DE317F&quot;/&gt;&lt;wsp:rsid wsp:val=&quot;00DE3E30&quot;/&gt;&lt;wsp:rsid wsp:val=&quot;00DE4BEC&quot;/&gt;&lt;wsp:rsid wsp:val=&quot;00DE4C1F&quot;/&gt;&lt;wsp:rsid wsp:val=&quot;00DE5AB4&quot;/&gt;&lt;wsp:rsid wsp:val=&quot;00DE6151&quot;/&gt;&lt;wsp:rsid wsp:val=&quot;00DE620A&quot;/&gt;&lt;wsp:rsid wsp:val=&quot;00DF0259&quot;/&gt;&lt;wsp:rsid wsp:val=&quot;00DF0324&quot;/&gt;&lt;wsp:rsid wsp:val=&quot;00DF1498&quot;/&gt;&lt;wsp:rsid wsp:val=&quot;00DF2702&quot;/&gt;&lt;wsp:rsid wsp:val=&quot;00DF6717&quot;/&gt;&lt;wsp:rsid wsp:val=&quot;00E00782&quot;/&gt;&lt;wsp:rsid wsp:val=&quot;00E00E6F&quot;/&gt;&lt;wsp:rsid wsp:val=&quot;00E0108A&quot;/&gt;&lt;wsp:rsid wsp:val=&quot;00E03F72&quot;/&gt;&lt;wsp:rsid wsp:val=&quot;00E0445F&quot;/&gt;&lt;wsp:rsid wsp:val=&quot;00E05582&quot;/&gt;&lt;wsp:rsid wsp:val=&quot;00E06AD1&quot;/&gt;&lt;wsp:rsid wsp:val=&quot;00E0701D&quot;/&gt;&lt;wsp:rsid wsp:val=&quot;00E077C8&quot;/&gt;&lt;wsp:rsid wsp:val=&quot;00E0787D&quot;/&gt;&lt;wsp:rsid wsp:val=&quot;00E10880&quot;/&gt;&lt;wsp:rsid wsp:val=&quot;00E1124C&quot;/&gt;&lt;wsp:rsid wsp:val=&quot;00E12C06&quot;/&gt;&lt;wsp:rsid wsp:val=&quot;00E1303E&quot;/&gt;&lt;wsp:rsid wsp:val=&quot;00E141FD&quot;/&gt;&lt;wsp:rsid wsp:val=&quot;00E14B87&quot;/&gt;&lt;wsp:rsid wsp:val=&quot;00E159B5&quot;/&gt;&lt;wsp:rsid wsp:val=&quot;00E17528&quot;/&gt;&lt;wsp:rsid wsp:val=&quot;00E2049D&quot;/&gt;&lt;wsp:rsid wsp:val=&quot;00E22C1F&quot;/&gt;&lt;wsp:rsid wsp:val=&quot;00E2487E&quot;/&gt;&lt;wsp:rsid wsp:val=&quot;00E26792&quot;/&gt;&lt;wsp:rsid wsp:val=&quot;00E270CE&quot;/&gt;&lt;wsp:rsid wsp:val=&quot;00E31A93&quot;/&gt;&lt;wsp:rsid wsp:val=&quot;00E31E5B&quot;/&gt;&lt;wsp:rsid wsp:val=&quot;00E31EC0&quot;/&gt;&lt;wsp:rsid wsp:val=&quot;00E32105&quot;/&gt;&lt;wsp:rsid wsp:val=&quot;00E32B93&quot;/&gt;&lt;wsp:rsid wsp:val=&quot;00E3307B&quot;/&gt;&lt;wsp:rsid wsp:val=&quot;00E371CA&quot;/&gt;&lt;wsp:rsid wsp:val=&quot;00E421C8&quot;/&gt;&lt;wsp:rsid wsp:val=&quot;00E42266&quot;/&gt;&lt;wsp:rsid wsp:val=&quot;00E43A83&quot;/&gt;&lt;wsp:rsid wsp:val=&quot;00E43BBA&quot;/&gt;&lt;wsp:rsid wsp:val=&quot;00E440BF&quot;/&gt;&lt;wsp:rsid wsp:val=&quot;00E47816&quot;/&gt;&lt;wsp:rsid wsp:val=&quot;00E47993&quot;/&gt;&lt;wsp:rsid wsp:val=&quot;00E47C80&quot;/&gt;&lt;wsp:rsid wsp:val=&quot;00E501FE&quot;/&gt;&lt;wsp:rsid wsp:val=&quot;00E519EC&quot;/&gt;&lt;wsp:rsid wsp:val=&quot;00E55475&quot;/&gt;&lt;wsp:rsid wsp:val=&quot;00E561DC&quot;/&gt;&lt;wsp:rsid wsp:val=&quot;00E5784D&quot;/&gt;&lt;wsp:rsid wsp:val=&quot;00E60D95&quot;/&gt;&lt;wsp:rsid wsp:val=&quot;00E61FA8&quot;/&gt;&lt;wsp:rsid wsp:val=&quot;00E65A4E&quot;/&gt;&lt;wsp:rsid wsp:val=&quot;00E67344&quot;/&gt;&lt;wsp:rsid wsp:val=&quot;00E677EA&quot;/&gt;&lt;wsp:rsid wsp:val=&quot;00E707CA&quot;/&gt;&lt;wsp:rsid wsp:val=&quot;00E71E97&quot;/&gt;&lt;wsp:rsid wsp:val=&quot;00E74640&quot;/&gt;&lt;wsp:rsid wsp:val=&quot;00E74E10&quot;/&gt;&lt;wsp:rsid wsp:val=&quot;00E752EF&quot;/&gt;&lt;wsp:rsid wsp:val=&quot;00E75477&quot;/&gt;&lt;wsp:rsid wsp:val=&quot;00E7573C&quot;/&gt;&lt;wsp:rsid wsp:val=&quot;00E768FB&quot;/&gt;&lt;wsp:rsid wsp:val=&quot;00E818DB&quot;/&gt;&lt;wsp:rsid wsp:val=&quot;00E81B34&quot;/&gt;&lt;wsp:rsid wsp:val=&quot;00E82DFE&quot;/&gt;&lt;wsp:rsid wsp:val=&quot;00E83256&quot;/&gt;&lt;wsp:rsid wsp:val=&quot;00E838DB&quot;/&gt;&lt;wsp:rsid wsp:val=&quot;00E83A42&quot;/&gt;&lt;wsp:rsid wsp:val=&quot;00E84501&quot;/&gt;&lt;wsp:rsid wsp:val=&quot;00E84D43&quot;/&gt;&lt;wsp:rsid wsp:val=&quot;00E90CDB&quot;/&gt;&lt;wsp:rsid wsp:val=&quot;00E927A1&quot;/&gt;&lt;wsp:rsid wsp:val=&quot;00E9525C&quot;/&gt;&lt;wsp:rsid wsp:val=&quot;00E97B06&quot;/&gt;&lt;wsp:rsid wsp:val=&quot;00E97D8D&quot;/&gt;&lt;wsp:rsid wsp:val=&quot;00EA438E&quot;/&gt;&lt;wsp:rsid wsp:val=&quot;00EA45B3&quot;/&gt;&lt;wsp:rsid wsp:val=&quot;00EA4E51&quot;/&gt;&lt;wsp:rsid wsp:val=&quot;00EA547B&quot;/&gt;&lt;wsp:rsid wsp:val=&quot;00EA64C7&quot;/&gt;&lt;wsp:rsid wsp:val=&quot;00EA79CE&quot;/&gt;&lt;wsp:rsid wsp:val=&quot;00EB110C&quot;/&gt;&lt;wsp:rsid wsp:val=&quot;00EB3226&quot;/&gt;&lt;wsp:rsid wsp:val=&quot;00EB5E51&quot;/&gt;&lt;wsp:rsid wsp:val=&quot;00EB7F5E&quot;/&gt;&lt;wsp:rsid wsp:val=&quot;00EC3640&quot;/&gt;&lt;wsp:rsid wsp:val=&quot;00EC4D50&quot;/&gt;&lt;wsp:rsid wsp:val=&quot;00EC4EB1&quot;/&gt;&lt;wsp:rsid wsp:val=&quot;00EC52F1&quot;/&gt;&lt;wsp:rsid wsp:val=&quot;00EC5BCE&quot;/&gt;&lt;wsp:rsid wsp:val=&quot;00EC64BB&quot;/&gt;&lt;wsp:rsid wsp:val=&quot;00ED0193&quot;/&gt;&lt;wsp:rsid wsp:val=&quot;00ED0269&quot;/&gt;&lt;wsp:rsid wsp:val=&quot;00ED119B&quot;/&gt;&lt;wsp:rsid wsp:val=&quot;00ED18CC&quot;/&gt;&lt;wsp:rsid wsp:val=&quot;00ED6DA6&quot;/&gt;&lt;wsp:rsid wsp:val=&quot;00ED6F9B&quot;/&gt;&lt;wsp:rsid wsp:val=&quot;00EE02B9&quot;/&gt;&lt;wsp:rsid wsp:val=&quot;00EE48CF&quot;/&gt;&lt;wsp:rsid wsp:val=&quot;00EE5E65&quot;/&gt;&lt;wsp:rsid wsp:val=&quot;00EE6431&quot;/&gt;&lt;wsp:rsid wsp:val=&quot;00EF1179&quot;/&gt;&lt;wsp:rsid wsp:val=&quot;00EF3591&quot;/&gt;&lt;wsp:rsid wsp:val=&quot;00EF5592&quot;/&gt;&lt;wsp:rsid wsp:val=&quot;00EF79D4&quot;/&gt;&lt;wsp:rsid wsp:val=&quot;00F04446&quot;/&gt;&lt;wsp:rsid wsp:val=&quot;00F05043&quot;/&gt;&lt;wsp:rsid wsp:val=&quot;00F0679A&quot;/&gt;&lt;wsp:rsid wsp:val=&quot;00F068D4&quot;/&gt;&lt;wsp:rsid wsp:val=&quot;00F079C1&quot;/&gt;&lt;wsp:rsid wsp:val=&quot;00F154A4&quot;/&gt;&lt;wsp:rsid wsp:val=&quot;00F17282&quot;/&gt;&lt;wsp:rsid wsp:val=&quot;00F21513&quot;/&gt;&lt;wsp:rsid wsp:val=&quot;00F226BF&quot;/&gt;&lt;wsp:rsid wsp:val=&quot;00F24C0A&quot;/&gt;&lt;wsp:rsid wsp:val=&quot;00F24D5E&quot;/&gt;&lt;wsp:rsid wsp:val=&quot;00F24F77&quot;/&gt;&lt;wsp:rsid wsp:val=&quot;00F256C6&quot;/&gt;&lt;wsp:rsid wsp:val=&quot;00F25AA6&quot;/&gt;&lt;wsp:rsid wsp:val=&quot;00F27C41&quot;/&gt;&lt;wsp:rsid wsp:val=&quot;00F3107E&quot;/&gt;&lt;wsp:rsid wsp:val=&quot;00F33A51&quot;/&gt;&lt;wsp:rsid wsp:val=&quot;00F345DA&quot;/&gt;&lt;wsp:rsid wsp:val=&quot;00F34A3B&quot;/&gt;&lt;wsp:rsid wsp:val=&quot;00F34F6B&quot;/&gt;&lt;wsp:rsid wsp:val=&quot;00F3755F&quot;/&gt;&lt;wsp:rsid wsp:val=&quot;00F37936&quot;/&gt;&lt;wsp:rsid wsp:val=&quot;00F41721&quot;/&gt;&lt;wsp:rsid wsp:val=&quot;00F43373&quot;/&gt;&lt;wsp:rsid wsp:val=&quot;00F43712&quot;/&gt;&lt;wsp:rsid wsp:val=&quot;00F452C1&quot;/&gt;&lt;wsp:rsid wsp:val=&quot;00F470E9&quot;/&gt;&lt;wsp:rsid wsp:val=&quot;00F509B2&quot;/&gt;&lt;wsp:rsid wsp:val=&quot;00F50E50&quot;/&gt;&lt;wsp:rsid wsp:val=&quot;00F54533&quot;/&gt;&lt;wsp:rsid wsp:val=&quot;00F54898&quot;/&gt;&lt;wsp:rsid wsp:val=&quot;00F568DF&quot;/&gt;&lt;wsp:rsid wsp:val=&quot;00F56B66&quot;/&gt;&lt;wsp:rsid wsp:val=&quot;00F57250&quot;/&gt;&lt;wsp:rsid wsp:val=&quot;00F6117F&quot;/&gt;&lt;wsp:rsid wsp:val=&quot;00F6139E&quot;/&gt;&lt;wsp:rsid wsp:val=&quot;00F6544A&quot;/&gt;&lt;wsp:rsid wsp:val=&quot;00F67B52&quot;/&gt;&lt;wsp:rsid wsp:val=&quot;00F70FE9&quot;/&gt;&lt;wsp:rsid wsp:val=&quot;00F71CE1&quot;/&gt;&lt;wsp:rsid wsp:val=&quot;00F721A9&quot;/&gt;&lt;wsp:rsid wsp:val=&quot;00F72ED5&quot;/&gt;&lt;wsp:rsid wsp:val=&quot;00F749C9&quot;/&gt;&lt;wsp:rsid wsp:val=&quot;00F75D5E&quot;/&gt;&lt;wsp:rsid wsp:val=&quot;00F75E41&quot;/&gt;&lt;wsp:rsid wsp:val=&quot;00F77AA5&quot;/&gt;&lt;wsp:rsid wsp:val=&quot;00F80DBB&quot;/&gt;&lt;wsp:rsid wsp:val=&quot;00F818A1&quot;/&gt;&lt;wsp:rsid wsp:val=&quot;00F831A0&quot;/&gt;&lt;wsp:rsid wsp:val=&quot;00F85697&quot;/&gt;&lt;wsp:rsid wsp:val=&quot;00F85BAF&quot;/&gt;&lt;wsp:rsid wsp:val=&quot;00F92901&quot;/&gt;&lt;wsp:rsid wsp:val=&quot;00F93980&quot;/&gt;&lt;wsp:rsid wsp:val=&quot;00F945D3&quot;/&gt;&lt;wsp:rsid wsp:val=&quot;00F9601A&quot;/&gt;&lt;wsp:rsid wsp:val=&quot;00F9775A&quot;/&gt;&lt;wsp:rsid wsp:val=&quot;00FA0F84&quot;/&gt;&lt;wsp:rsid wsp:val=&quot;00FA2093&quot;/&gt;&lt;wsp:rsid wsp:val=&quot;00FA6AFB&quot;/&gt;&lt;wsp:rsid wsp:val=&quot;00FA7FAD&quot;/&gt;&lt;wsp:rsid wsp:val=&quot;00FB0A9B&quot;/&gt;&lt;wsp:rsid wsp:val=&quot;00FB540C&quot;/&gt;&lt;wsp:rsid wsp:val=&quot;00FB63A9&quot;/&gt;&lt;wsp:rsid wsp:val=&quot;00FB63BF&quot;/&gt;&lt;wsp:rsid wsp:val=&quot;00FC1A1A&quot;/&gt;&lt;wsp:rsid wsp:val=&quot;00FC3204&quot;/&gt;&lt;wsp:rsid wsp:val=&quot;00FC3B69&quot;/&gt;&lt;wsp:rsid wsp:val=&quot;00FC46C0&quot;/&gt;&lt;wsp:rsid wsp:val=&quot;00FC4FC4&quot;/&gt;&lt;wsp:rsid wsp:val=&quot;00FC71D6&quot;/&gt;&lt;wsp:rsid wsp:val=&quot;00FD1429&quot;/&gt;&lt;wsp:rsid wsp:val=&quot;00FD4B99&quot;/&gt;&lt;wsp:rsid wsp:val=&quot;00FD5FCC&quot;/&gt;&lt;wsp:rsid wsp:val=&quot;00FD7E20&quot;/&gt;&lt;wsp:rsid wsp:val=&quot;00FE1697&quot;/&gt;&lt;wsp:rsid wsp:val=&quot;00FE329C&quot;/&gt;&lt;wsp:rsid wsp:val=&quot;00FE3A50&quot;/&gt;&lt;wsp:rsid wsp:val=&quot;00FE410A&quot;/&gt;&lt;wsp:rsid wsp:val=&quot;00FE41B5&quot;/&gt;&lt;wsp:rsid wsp:val=&quot;00FE6D5B&quot;/&gt;&lt;wsp:rsid wsp:val=&quot;00FE7750&quot;/&gt;&lt;wsp:rsid wsp:val=&quot;00FF0DA6&quot;/&gt;&lt;wsp:rsid wsp:val=&quot;00FF0FC1&quot;/&gt;&lt;wsp:rsid wsp:val=&quot;00FF69CD&quot;/&gt;&lt;/wsp:rsids&gt;&lt;/w:docPr&gt;&lt;w:body&gt;&lt;wx:sect&gt;&lt;w:p wsp:rsidR=&quot;00000000&quot; wsp:rsidRDefault=&quot;00090AFD&quot; wsp:rsidP=&quot;00090AFD&quot;&gt;&lt;m:oMathPara&gt;&lt;m:oMath&gt;&lt;m:r&gt;&lt;w:rPr&gt;&lt;w:rFonts w:ascii=&quot;Cambria Math&quot; w:fareast=&quot;妤蜂綋&quot; w:h-ansi=&quot;Cambria Math&quot;/&gt;&lt;wx:font wx:val=&quot;Cambria Math&quot;/&gt;&lt;w:i/&gt;&lt;/w:rPr&gt;&lt;m:t&gt;L&lt;/m:t&gt;&lt;/m:r&gt;&lt;m:d&gt;&lt;m:dPr&gt;&lt;m:ctrlPr&gt;&lt;w:rPr&gt;&lt;w:rFonts w:ascii=&quot;Cambria Math&quot; w:farsidsidsidsidsidsidsidsidsidsidsidsidsidsidsidsidsidsidsidsidsideast=&quot;妤蜂綋&quot; w:h-ansi=&quot;Cambria Math&quot; w:cs=&quot;Times New Roman&quot;/&gt;&lt;wx:font wx:val=&quot;Cambria Math&quot;/&gt;&lt;w:sz-cs w:val=&quot;22&quot;/&gt;&lt;/w:rPr&gt;&lt;/m:ctrlPr&gt;&lt;/m:dPr&gt;&lt;m:e&gt;&lt;m:r&gt;&lt;m:rPr&gt;&lt;m:sty m:val=&quot;p&quot;/&gt;&lt;/m:rPr&gt;&lt;w:rPr&gt;&lt;w:sidrFosidntssid w:sidascsidii=sid&quot;Casidmbrsidia sidMatsidh&quot; sidw:fsidaresidastsid=&quot;?sidシ鋋rsid綋&quot;farsid w:farsidh-afarsidnsifarsid=&quot;Cfarsidambria Math&quot; w:hint=&quot;fareast&quot;/&gt;&lt;wx:font wx:val=&quot;妤蜂綋&quot;/&gt;&lt;/w:rPr&gt;&lt;m:t&gt;鐢熷笀姣?/m:t&gt;&lt;/m:r&gt;&lt;/m:e&gt;&lt;/m:d&gt;&lt;m:r&gt;&lt;m:rPr&gt;&lt;m:srPr&gt;&lt;w:sidty m:v&gt;&lt;w:rFosidal=&quot;p&quot;:rFontssid/&gt;&lt;/m:onts w:sidrPr&gt;&lt;ws w:ascsid:rPr&gt;&lt;:ascii=sidw:rFoncii=&quot;Casidts w:a=&quot;Cambrsidscii=&quot;ambria sidCambriria Matsida Math Math&quot; sid&quot; w:fath&quot; w:fsidreast= w:faresid&quot;妤蜂?w:fareastsid? w:hfareast=&quot;?sid-ansi=&quot;Cst=&quot;妤蜂arsidambria:sid Ma妤蜂綋&quot;farsid:rFosidth&quot;/&gt;&lt;wx:&quot; w:farontssidsidfont wx:v:h-as w:sidfarsidal=&quot;Cambra:ascsidnsifarsidia Mathcii=sid&quot;si=&quot;Cfarsid/&gt;&lt;/=&quot;Casidw:rPr&gt;&lt;m:t&gt;=&lt;/m:ambrsidt&gt;&lt;/m:r&gt;&lt;m:f&gt;&lt;m:ria sidfPr&gt;&lt;m:ctrlPr&gt;&lt;w Matsid:rPr&gt;&lt;w:rFonts wth&quot; sid:ascii=&quot;Cambria  w:fsidMasidth&quot; w:fareast=faresid&quot;?シ浣? w:h-ansiareastsisidd=&quot;Cambria Math&quot; w:cst=sid&quot;?sids=&quot;Times New Romansid&quot;/&gt;蜂arsid&lt;wx:font wx:v=sidal=&quot;Cambrsidia Math&quot;/&gt;&lt;asidw:sz-cs sidw:val=&quot;22&quot;/&gt;rsid&lt;/w:rPrsid&gt;&lt;/m:ctrlPr&gt;&lt; sid/m:fPrsid&gt;&lt;m:num&gt;&lt;m:r&gt;&lt;tsidw:rPrsid&gt;&lt;w:rFonts wsid:as sidcii=&quot;Cambria Maid&quot;?th&quot; w:fafsidreast=&quot;妤蜂綋&quot;isid w:h-ansifaresid=&quot;Cambria =sidMath&quot;/&gt;&lt;wx:font tsidwx:valnsid=&quot;Cambria Math&quot;/&gt;&lt;w:i?sid/&gt;sid&lt;/w:rPr&gt;&lt;m:t&gt;N&lt;/m:t&gt;&lt;/m:r&gt;ssidid&lt;/m:num&gt;&lt;m:den&gt;&lt;m:r&gt;&lt;w:rPsidsidr&gt;&lt;w:rFonts w:ascii=&quot;Csisiddambria Math&quot; w:farsideastsid=sid&quot;妤蜂綋&quot; w:h-anMaid&quot;?si=&quot;CafPrsidas sidmbria Math&quot;/sid&gt;&lt;wx:font rPrsifafsiddwx:val=&quot;sidCambria Math&quot;/&gt;&lt;w:i/&gt;sid&lt;/w:rPsidr&gt;&lt;m:t&gt;X+Y脳0.5&lt;/m:t&gt;&lt;/mtsid:r&gt;sid&gt;&lt;/m:den&gt;&lt;/m:f&gt;&lt;m:r&gt;&lt;w:rPr&gt;&lt;w?ssidsid:rFonts w:ascii=&quot;Cambria MaPsidth&quot; &gt;sidw:fareast=&quot;妤?arsid浣? w:h&quot;Csisid-ansi=w:rPsid&quot;Camid&quot;?bria Math&quot;/&gt;&lt;sid=sidwx:font i=&quot;Cs/sididwx:val=&quot;Cambria Ma sidth&quot;/&gt;&lt;wea&quot;sidstsid:i/&gt;&lt;/w:rPr&gt;&lt;m:t&gt;=&lt;fsid/m:t&gt;Psid&lt;/m:rsidr&gt;&lt;m:f&gt;&lt;m:fPr&gt;&lt;m:ctr&gt;sidlPsidr&gt;&lt;w:rrsidPr&gt;&lt;w:rFonts w:ascii=&quot;sisiddCambria Math&quot; w:fareast=&quot;妤蜂綋&quot; arsidMaPsidw:&lt;w?sidh-ansi=&quot;Cambria Math&quot; d&quot;?w:cs=&quot;Tsidimes N&quot; &gt;sidew Roman&quot;/&gt;&lt;wx:sidfont wx:vasidl=&quot;Cambriasid Math&quot;/&gt;&lt;w:sidi/&gt;&lt;w:sz-cs wsid:val=&quot;22sid&quot;/&gt;&lt;/w:rPrsid&gt;&lt;/m:ctrlPr&gt;&lt;/m:sidfPr&gt;&lt;msid:num&gt;&lt;m:rsid&gt;&lt;w:rPr&gt;&lt;w:rFonts wsid:ascsidii=&quot;Cambsidria Math&quot; w:fareast=&quot;?sid?rsid浣? w:h-andsi=&quot;Cambria Ma?th&quot;/&gt;&lt;wx:foidnt wx:val=&quot;Cadmbria Math&quot;/&gt;d&lt;w:i/&gt;&lt;/w:rPr&gt;&lt;idm:t&gt;N&lt;/m:td&gt;&lt;/m:r&gt;&lt;/m:ndum&gt;&lt;m:den&gt;&lt;m:r&gt;&lt;idw:rPr&gt;&lt;w:rdFonts w:ascdii=&quot;Cambria Maidth&quot; w:fareastd=&quot;妤蜂綋&quot; rsidw:h-ansi=&quot;Ca&lt;msidmbria Math&quot;/&gt;wsid&lt;wx:fobsidnt wfarex:val=&quot;Cambrscsidia Math&quot;/&gt;&lt;w&quot;?sid:i/andMa?&gt;&lt;/w:rPr&gt;&lt;m:t&gt;C脳40%妤?rsid+C脳60%脳0.5&lt;wath&quot;/&gt;dal=&quot;Cadx:foid/m:t&gt;&lt;/m:r&gt;&lt;/m:den&gt;&lt;/m:f&gt;&lt;/m&gt;&lt;/m:nd:oMath&gt;N&lt;/m:td&lt;/m:oMatrPr&gt;&lt;idhPara&gt;&lt;/w:p&gt; w:ascd&lt;w:sectPr wsp:r&gt;&lt;w:rdrsidR=&quot;0000000m:r&gt;&lt;id0&quot;rsid&gt;&lt;w:pgSz w:w=&quot;1224arfareeastd0&quot; w:h=&quot;15840&quot;/&gt;&lt;iabsid Maidw:pgMar w:dMa?top=&quot;1440&quot;wsid w:right=&quot;1800&quot;/and w:bomsidttom=&quot;1440&quot; w:left=&quot;?sid1800&quot; w:header=&quot;720&quot;csid w:footer=&quot;720&quot; w:gutter=&quot;0&quot;/&gt;&lt;w:cols w:spidace=&quot;720&quot;/&gt;&lt;/w:sectPr&gt;&lt;/wx:sect&gt;&lt;/w:body&gt;&lt;/w:wordDocument&gt;">
            <v:path/>
            <v:fill on="f" focussize="0,0"/>
            <v:stroke on="f" joinstyle="miter"/>
            <v:imagedata r:id="rId8" chromakey="#FFFFFF" o:title=""/>
            <o:lock v:ext="edit" aspectratio="t"/>
            <w10:wrap type="none"/>
            <w10:anchorlock/>
          </v:shape>
        </w:pict>
      </w:r>
      <w:r>
        <w:rPr>
          <w:rFonts w:ascii="Times New Roman" w:hAnsi="Times New Roman" w:eastAsia="楷体"/>
          <w:sz w:val="21"/>
          <w:szCs w:val="21"/>
        </w:rPr>
        <w:fldChar w:fldCharType="end"/>
      </w:r>
      <w:r>
        <w:rPr>
          <w:rFonts w:ascii="Times New Roman" w:hAnsi="Times New Roman" w:eastAsia="楷体"/>
          <w:sz w:val="21"/>
          <w:szCs w:val="21"/>
        </w:rPr>
        <w:fldChar w:fldCharType="begin"/>
      </w:r>
      <w:r>
        <w:rPr>
          <w:rFonts w:ascii="Times New Roman" w:hAnsi="Times New Roman" w:eastAsia="楷体"/>
          <w:sz w:val="21"/>
          <w:szCs w:val="21"/>
        </w:rPr>
        <w:instrText xml:space="preserve"> QUOTE </w:instrText>
      </w:r>
      <w:r>
        <w:rPr>
          <w:position w:val="-23"/>
        </w:rPr>
        <w:pict>
          <v:shape id="_x0000_i1027" o:spt="75" type="#_x0000_t75" style="height:35.25pt;width:201.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40&quot;/&gt;&lt;w:doNotEmbedSystemFonts/&gt;&lt;w:bordersDontSurroundHeader/&gt;&lt;w:bordersDontSurroundFooter/&gt;&lt;w:stylePaneFormatFilter w:val=&quot;3F01&quot;/&gt;&lt;w:defaultTabStop w:val=&quot;0&quot;/&gt;&lt;w:evenAndOddHeaders/&gt;&lt;w:drawingGridVerticalSpacing w:val=&quot;156&quot;/&gt;&lt;w:displayHorizontalDrawingGridEvery w:val=&quot;0&quot;/&gt;&lt;w:displayVerticalDrawingGridEvery w:val=&quot;2&quot;/&gt;&lt;w:punctuationKerning/&gt;&lt;w:characterSpacingControl w:val=&quot;CompressPunctuation&quot;/&gt;&lt;w:optimizeForBrowser/&gt;&lt;w:targetScreenSz w:val=&quot;800x600&quot;/&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364F0&quot;/&gt;&lt;wsp:rsid wsp:val=&quot;000025AE&quot;/&gt;&lt;wsp:rsid wsp:val=&quot;00003764&quot;/&gt;&lt;wsp:rsid wsp:val=&quot;000079BC&quot;/&gt;&lt;wsp:rsid wsp:val=&quot;00011ABD&quot;/&gt;&lt;wsp:rsid wsp:val=&quot;000134A7&quot;/&gt;&lt;wsp:rsid wsp:val=&quot;00013C37&quot;/&gt;&lt;wsp:rsid wsp:val=&quot;00014FB2&quot;/&gt;&lt;wsp:rsid wsp:val=&quot;00016090&quot;/&gt;&lt;wsp:rsid wsp:val=&quot;00020B7A&quot;/&gt;&lt;wsp:rsid wsp:val=&quot;00020DD7&quot;/&gt;&lt;wsp:rsid wsp:val=&quot;000225F0&quot;/&gt;&lt;wsp:rsid wsp:val=&quot;00023234&quot;/&gt;&lt;wsp:rsid wsp:val=&quot;00025A72&quot;/&gt;&lt;wsp:rsid wsp:val=&quot;00025E29&quot;/&gt;&lt;wsp:rsid wsp:val=&quot;000270A1&quot;/&gt;&lt;wsp:rsid wsp:val=&quot;0002780E&quot;/&gt;&lt;wsp:rsid wsp:val=&quot;000279D9&quot;/&gt;&lt;wsp:rsid wsp:val=&quot;0003082C&quot;/&gt;&lt;wsp:rsid wsp:val=&quot;00034316&quot;/&gt;&lt;wsp:rsid wsp:val=&quot;000369DA&quot;/&gt;&lt;wsp:rsid wsp:val=&quot;00040B21&quot;/&gt;&lt;wsp:rsid wsp:val=&quot;000410EC&quot;/&gt;&lt;wsp:rsid wsp:val=&quot;00042102&quot;/&gt;&lt;wsp:rsid wsp:val=&quot;00044B38&quot;/&gt;&lt;wsp:rsid wsp:val=&quot;00046822&quot;/&gt;&lt;wsp:rsid wsp:val=&quot;000501C9&quot;/&gt;&lt;wsp:rsid wsp:val=&quot;000531FA&quot;/&gt;&lt;wsp:rsid wsp:val=&quot;000533E0&quot;/&gt;&lt;wsp:rsid wsp:val=&quot;00061494&quot;/&gt;&lt;wsp:rsid wsp:val=&quot;0006213A&quot;/&gt;&lt;wsp:rsid wsp:val=&quot;000709C4&quot;/&gt;&lt;wsp:rsid wsp:val=&quot;00074CB1&quot;/&gt;&lt;wsp:rsid wsp:val=&quot;000756BD&quot;/&gt;&lt;wsp:rsid wsp:val=&quot;00075EE9&quot;/&gt;&lt;wsp:rsid wsp:val=&quot;00077C1F&quot;/&gt;&lt;wsp:rsid wsp:val=&quot;00082BC2&quot;/&gt;&lt;wsp:rsid wsp:val=&quot;00084E56&quot;/&gt;&lt;wsp:rsid wsp:val=&quot;0008691C&quot;/&gt;&lt;wsp:rsid wsp:val=&quot;00086D9E&quot;/&gt;&lt;wsp:rsid wsp:val=&quot;00093B95&quot;/&gt;&lt;wsp:rsid wsp:val=&quot;00094514&quot;/&gt;&lt;wsp:rsid wsp:val=&quot;00094676&quot;/&gt;&lt;wsp:rsid wsp:val=&quot;00094C15&quot;/&gt;&lt;wsp:rsid wsp:val=&quot;00095574&quot;/&gt;&lt;wsp:rsid wsp:val=&quot;000A240E&quot;/&gt;&lt;wsp:rsid wsp:val=&quot;000A5799&quot;/&gt;&lt;wsp:rsid wsp:val=&quot;000A640C&quot;/&gt;&lt;wsp:rsid wsp:val=&quot;000A700A&quot;/&gt;&lt;wsp:rsid wsp:val=&quot;000B4A84&quot;/&gt;&lt;wsp:rsid wsp:val=&quot;000B5608&quot;/&gt;&lt;wsp:rsid wsp:val=&quot;000B69AF&quot;/&gt;&lt;wsp:rsid wsp:val=&quot;000B6B25&quot;/&gt;&lt;wsp:rsid wsp:val=&quot;000B7338&quot;/&gt;&lt;wsp:rsid wsp:val=&quot;000B7785&quot;/&gt;&lt;wsp:rsid wsp:val=&quot;000C1A45&quot;/&gt;&lt;wsp:rsid wsp:val=&quot;000C33EE&quot;/&gt;&lt;wsp:rsid wsp:val=&quot;000C3C87&quot;/&gt;&lt;wsp:rsid wsp:val=&quot;000C4C52&quot;/&gt;&lt;wsp:rsid wsp:val=&quot;000C559D&quot;/&gt;&lt;wsp:rsid wsp:val=&quot;000C5E52&quot;/&gt;&lt;wsp:rsid wsp:val=&quot;000C60F9&quot;/&gt;&lt;wsp:rsid wsp:val=&quot;000D0F3C&quot;/&gt;&lt;wsp:rsid wsp:val=&quot;000D3B6F&quot;/&gt;&lt;wsp:rsid wsp:val=&quot;000D6017&quot;/&gt;&lt;wsp:rsid wsp:val=&quot;000D65E2&quot;/&gt;&lt;wsp:rsid wsp:val=&quot;000D66C7&quot;/&gt;&lt;wsp:rsid wsp:val=&quot;000E0A0E&quot;/&gt;&lt;wsp:rsid wsp:val=&quot;000E16F3&quot;/&gt;&lt;wsp:rsid wsp:val=&quot;000E2A0D&quot;/&gt;&lt;wsp:rsid wsp:val=&quot;000E35F5&quot;/&gt;&lt;wsp:rsid wsp:val=&quot;000E3BF6&quot;/&gt;&lt;wsp:rsid wsp:val=&quot;000E4F6B&quot;/&gt;&lt;wsp:rsid wsp:val=&quot;000E68C4&quot;/&gt;&lt;wsp:rsid wsp:val=&quot;000E6C41&quot;/&gt;&lt;wsp:rsid wsp:val=&quot;000E7311&quot;/&gt;&lt;wsp:rsid wsp:val=&quot;000F019E&quot;/&gt;&lt;wsp:rsid wsp:val=&quot;000F29CB&quot;/&gt;&lt;wsp:rsid wsp:val=&quot;000F3FAE&quot;/&gt;&lt;wsp:rsid wsp:val=&quot;000F6515&quot;/&gt;&lt;wsp:rsid wsp:val=&quot;001003B9&quot;/&gt;&lt;wsp:rsid wsp:val=&quot;001009B0&quot;/&gt;&lt;wsp:rsid wsp:val=&quot;00101608&quot;/&gt;&lt;wsp:rsid wsp:val=&quot;00102E3E&quot;/&gt;&lt;wsp:rsid wsp:val=&quot;001033DC&quot;/&gt;&lt;wsp:rsid wsp:val=&quot;00104282&quot;/&gt;&lt;wsp:rsid wsp:val=&quot;00105109&quot;/&gt;&lt;wsp:rsid wsp:val=&quot;00105557&quot;/&gt;&lt;wsp:rsid wsp:val=&quot;00110CEC&quot;/&gt;&lt;wsp:rsid wsp:val=&quot;001120B8&quot;/&gt;&lt;wsp:rsid wsp:val=&quot;0011250B&quot;/&gt;&lt;wsp:rsid wsp:val=&quot;00112762&quot;/&gt;&lt;wsp:rsid wsp:val=&quot;00115277&quot;/&gt;&lt;wsp:rsid wsp:val=&quot;001153D9&quot;/&gt;&lt;wsp:rsid wsp:val=&quot;00115E9A&quot;/&gt;&lt;wsp:rsid wsp:val=&quot;00116965&quot;/&gt;&lt;wsp:rsid wsp:val=&quot;001173C1&quot;/&gt;&lt;wsp:rsid wsp:val=&quot;00117A4B&quot;/&gt;&lt;wsp:rsid wsp:val=&quot;001207A1&quot;/&gt;&lt;wsp:rsid wsp:val=&quot;00120B1F&quot;/&gt;&lt;wsp:rsid wsp:val=&quot;0012164C&quot;/&gt;&lt;wsp:rsid wsp:val=&quot;00124BD2&quot;/&gt;&lt;wsp:rsid wsp:val=&quot;00126DE1&quot;/&gt;&lt;wsp:rsid wsp:val=&quot;00130895&quot;/&gt;&lt;wsp:rsid wsp:val=&quot;00130CAC&quot;/&gt;&lt;wsp:rsid wsp:val=&quot;0013219E&quot;/&gt;&lt;wsp:rsid wsp:val=&quot;00133236&quot;/&gt;&lt;wsp:rsid wsp:val=&quot;00133C04&quot;/&gt;&lt;wsp:rsid wsp:val=&quot;00134828&quot;/&gt;&lt;wsp:rsid wsp:val=&quot;001357BF&quot;/&gt;&lt;wsp:rsid wsp:val=&quot;001370AC&quot;/&gt;&lt;wsp:rsid wsp:val=&quot;0013754A&quot;/&gt;&lt;wsp:rsid wsp:val=&quot;00137A9E&quot;/&gt;&lt;wsp:rsid wsp:val=&quot;00137D16&quot;/&gt;&lt;wsp:rsid wsp:val=&quot;00141F69&quot;/&gt;&lt;wsp:rsid wsp:val=&quot;0014321E&quot;/&gt;&lt;wsp:rsid wsp:val=&quot;00143D11&quot;/&gt;&lt;wsp:rsid wsp:val=&quot;00144CB0&quot;/&gt;&lt;wsp:rsid wsp:val=&quot;00145036&quot;/&gt;&lt;wsp:rsid wsp:val=&quot;001450F2&quot;/&gt;&lt;wsp:rsid wsp:val=&quot;00145A7F&quot;/&gt;&lt;wsp:rsid wsp:val=&quot;00145B14&quot;/&gt;&lt;wsp:rsid wsp:val=&quot;00145BA7&quot;/&gt;&lt;wsp:rsid wsp:val=&quot;001475B9&quot;/&gt;&lt;wsp:rsid wsp:val=&quot;00152A5C&quot;/&gt;&lt;wsp:rsid wsp:val=&quot;001531C6&quot;/&gt;&lt;wsp:rsid wsp:val=&quot;0015349C&quot;/&gt;&lt;wsp:rsid wsp:val=&quot;001565C9&quot;/&gt;&lt;wsp:rsid wsp:val=&quot;001576F7&quot;/&gt;&lt;wsp:rsid wsp:val=&quot;0016208A&quot;/&gt;&lt;wsp:rsid wsp:val=&quot;001620C8&quot;/&gt;&lt;wsp:rsid wsp:val=&quot;00162AE7&quot;/&gt;&lt;wsp:rsid wsp:val=&quot;00165826&quot;/&gt;&lt;wsp:rsid wsp:val=&quot;00167282&quot;/&gt;&lt;wsp:rsid wsp:val=&quot;0016778C&quot;/&gt;&lt;wsp:rsid wsp:val=&quot;00171A7E&quot;/&gt;&lt;wsp:rsid wsp:val=&quot;00171C82&quot;/&gt;&lt;wsp:rsid wsp:val=&quot;00172561&quot;/&gt;&lt;wsp:rsid wsp:val=&quot;00173D49&quot;/&gt;&lt;wsp:rsid wsp:val=&quot;00181336&quot;/&gt;&lt;wsp:rsid wsp:val=&quot;00181F9D&quot;/&gt;&lt;wsp:rsid wsp:val=&quot;001831C4&quot;/&gt;&lt;wsp:rsid wsp:val=&quot;00185599&quot;/&gt;&lt;wsp:rsid wsp:val=&quot;001857BF&quot;/&gt;&lt;wsp:rsid wsp:val=&quot;001865D5&quot;/&gt;&lt;wsp:rsid wsp:val=&quot;00187DBE&quot;/&gt;&lt;wsp:rsid wsp:val=&quot;001918A3&quot;/&gt;&lt;wsp:rsid wsp:val=&quot;001953AB&quot;/&gt;&lt;wsp:rsid wsp:val=&quot;00195430&quot;/&gt;&lt;wsp:rsid wsp:val=&quot;00196626&quot;/&gt;&lt;wsp:rsid wsp:val=&quot;001A2916&quot;/&gt;&lt;wsp:rsid wsp:val=&quot;001A5208&quot;/&gt;&lt;wsp:rsid wsp:val=&quot;001A56E1&quot;/&gt;&lt;wsp:rsid wsp:val=&quot;001A7111&quot;/&gt;&lt;wsp:rsid wsp:val=&quot;001B0735&quot;/&gt;&lt;wsp:rsid wsp:val=&quot;001B40FC&quot;/&gt;&lt;wsp:rsid wsp:val=&quot;001B46B1&quot;/&gt;&lt;wsp:rsid wsp:val=&quot;001B664D&quot;/&gt;&lt;wsp:rsid wsp:val=&quot;001B7D7B&quot;/&gt;&lt;wsp:rsid wsp:val=&quot;001C0F12&quot;/&gt;&lt;wsp:rsid wsp:val=&quot;001C188F&quot;/&gt;&lt;wsp:rsid wsp:val=&quot;001C3971&quot;/&gt;&lt;wsp:rsid wsp:val=&quot;001C541E&quot;/&gt;&lt;wsp:rsid wsp:val=&quot;001C6C4E&quot;/&gt;&lt;wsp:rsid wsp:val=&quot;001C6D47&quot;/&gt;&lt;wsp:rsid wsp:val=&quot;001C7847&quot;/&gt;&lt;wsp:rsid wsp:val=&quot;001C7F84&quot;/&gt;&lt;wsp:rsid wsp:val=&quot;001D5E9A&quot;/&gt;&lt;wsp:rsid wsp:val=&quot;001D74D5&quot;/&gt;&lt;wsp:rsid wsp:val=&quot;001D7FE2&quot;/&gt;&lt;wsp:rsid wsp:val=&quot;001E09E0&quot;/&gt;&lt;wsp:rsid wsp:val=&quot;001E1DEE&quot;/&gt;&lt;wsp:rsid wsp:val=&quot;001E1E03&quot;/&gt;&lt;wsp:rsid wsp:val=&quot;001E2CAB&quot;/&gt;&lt;wsp:rsid wsp:val=&quot;001E37E2&quot;/&gt;&lt;wsp:rsid wsp:val=&quot;001E3EF5&quot;/&gt;&lt;wsp:rsid wsp:val=&quot;001E44B3&quot;/&gt;&lt;wsp:rsid wsp:val=&quot;001E6013&quot;/&gt;&lt;wsp:rsid wsp:val=&quot;001E65F9&quot;/&gt;&lt;wsp:rsid wsp:val=&quot;001E67A6&quot;/&gt;&lt;wsp:rsid wsp:val=&quot;001E6852&quot;/&gt;&lt;wsp:rsid wsp:val=&quot;001E6AEC&quot;/&gt;&lt;wsp:rsid wsp:val=&quot;001E6EFE&quot;/&gt;&lt;wsp:rsid wsp:val=&quot;001E74FE&quot;/&gt;&lt;wsp:rsid wsp:val=&quot;001F1614&quot;/&gt;&lt;wsp:rsid wsp:val=&quot;001F3232&quot;/&gt;&lt;wsp:rsid wsp:val=&quot;001F3A2C&quot;/&gt;&lt;wsp:rsid wsp:val=&quot;001F53C2&quot;/&gt;&lt;wsp:rsid wsp:val=&quot;001F7C6E&quot;/&gt;&lt;wsp:rsid wsp:val=&quot;001F7ED3&quot;/&gt;&lt;wsp:rsid wsp:val=&quot;00203A11&quot;/&gt;&lt;wsp:rsid wsp:val=&quot;00203B8C&quot;/&gt;&lt;wsp:rsid wsp:val=&quot;00203CF4&quot;/&gt;&lt;wsp:rsid wsp:val=&quot;002049EB&quot;/&gt;&lt;wsp:rsid wsp:val=&quot;00206371&quot;/&gt;&lt;wsp:rsid wsp:val=&quot;00212D62&quot;/&gt;&lt;wsp:rsid wsp:val=&quot;00213622&quot;/&gt;&lt;wsp:rsid wsp:val=&quot;002155CA&quot;/&gt;&lt;wsp:rsid wsp:val=&quot;00215D20&quot;/&gt;&lt;wsp:rsid wsp:val=&quot;00220083&quot;/&gt;&lt;wsp:rsid wsp:val=&quot;00220CC0&quot;/&gt;&lt;wsp:rsid wsp:val=&quot;0022252B&quot;/&gt;&lt;wsp:rsid wsp:val=&quot;00224200&quot;/&gt;&lt;wsp:rsid wsp:val=&quot;002274FB&quot;/&gt;&lt;wsp:rsid wsp:val=&quot;002304B5&quot;/&gt;&lt;wsp:rsid wsp:val=&quot;00230FB2&quot;/&gt;&lt;wsp:rsid wsp:val=&quot;002321D4&quot;/&gt;&lt;wsp:rsid wsp:val=&quot;00232EDC&quot;/&gt;&lt;wsp:rsid wsp:val=&quot;002344A5&quot;/&gt;&lt;wsp:rsid wsp:val=&quot;00237353&quot;/&gt;&lt;wsp:rsid wsp:val=&quot;0023765F&quot;/&gt;&lt;wsp:rsid wsp:val=&quot;00240CBA&quot;/&gt;&lt;wsp:rsid wsp:val=&quot;0024129D&quot;/&gt;&lt;wsp:rsid wsp:val=&quot;0024141E&quot;/&gt;&lt;wsp:rsid wsp:val=&quot;0024254A&quot;/&gt;&lt;wsp:rsid wsp:val=&quot;00247AB4&quot;/&gt;&lt;wsp:rsid wsp:val=&quot;002515C9&quot;/&gt;&lt;wsp:rsid wsp:val=&quot;002538D2&quot;/&gt;&lt;wsp:rsid wsp:val=&quot;00256EEF&quot;/&gt;&lt;wsp:rsid wsp:val=&quot;00257D04&quot;/&gt;&lt;wsp:rsid wsp:val=&quot;00260373&quot;/&gt;&lt;wsp:rsid wsp:val=&quot;00262184&quot;/&gt;&lt;wsp:rsid wsp:val=&quot;0026221C&quot;/&gt;&lt;wsp:rsid wsp:val=&quot;00263332&quot;/&gt;&lt;wsp:rsid wsp:val=&quot;0026396F&quot;/&gt;&lt;wsp:rsid wsp:val=&quot;00264230&quot;/&gt;&lt;wsp:rsid wsp:val=&quot;002648C6&quot;/&gt;&lt;wsp:rsid wsp:val=&quot;00264B63&quot;/&gt;&lt;wsp:rsid wsp:val=&quot;00267714&quot;/&gt;&lt;wsp:rsid wsp:val=&quot;00273E12&quot;/&gt;&lt;wsp:rsid wsp:val=&quot;0027456E&quot;/&gt;&lt;wsp:rsid wsp:val=&quot;00274811&quot;/&gt;&lt;wsp:rsid wsp:val=&quot;0027638E&quot;/&gt;&lt;wsp:rsid wsp:val=&quot;00280DBE&quot;/&gt;&lt;wsp:rsid wsp:val=&quot;002823CD&quot;/&gt;&lt;wsp:rsid wsp:val=&quot;002862A7&quot;/&gt;&lt;wsp:rsid wsp:val=&quot;00287CAD&quot;/&gt;&lt;wsp:rsid wsp:val=&quot;00290283&quot;/&gt;&lt;wsp:rsid wsp:val=&quot;00290784&quot;/&gt;&lt;wsp:rsid wsp:val=&quot;00290BDF&quot;/&gt;&lt;wsp:rsid wsp:val=&quot;002922CD&quot;/&gt;&lt;wsp:rsid wsp:val=&quot;00294946&quot;/&gt;&lt;wsp:rsid wsp:val=&quot;00294E3A&quot;/&gt;&lt;wsp:rsid wsp:val=&quot;00297DA5&quot;/&gt;&lt;wsp:rsid wsp:val=&quot;002A0BB8&quot;/&gt;&lt;wsp:rsid wsp:val=&quot;002A559E&quot;/&gt;&lt;wsp:rsid wsp:val=&quot;002A5BF9&quot;/&gt;&lt;wsp:rsid wsp:val=&quot;002A74AD&quot;/&gt;&lt;wsp:rsid wsp:val=&quot;002B2B6D&quot;/&gt;&lt;wsp:rsid wsp:val=&quot;002B5409&quot;/&gt;&lt;wsp:rsid wsp:val=&quot;002C2329&quot;/&gt;&lt;wsp:rsid wsp:val=&quot;002C2492&quot;/&gt;&lt;wsp:rsid wsp:val=&quot;002C50AC&quot;/&gt;&lt;wsp:rsid wsp:val=&quot;002C7F04&quot;/&gt;&lt;wsp:rsid wsp:val=&quot;002D1006&quot;/&gt;&lt;wsp:rsid wsp:val=&quot;002D1147&quot;/&gt;&lt;wsp:rsid wsp:val=&quot;002D14DC&quot;/&gt;&lt;wsp:rsid wsp:val=&quot;002D17AF&quot;/&gt;&lt;wsp:rsid wsp:val=&quot;002D1A02&quot;/&gt;&lt;wsp:rsid wsp:val=&quot;002D1F0B&quot;/&gt;&lt;wsp:rsid wsp:val=&quot;002D27DE&quot;/&gt;&lt;wsp:rsid wsp:val=&quot;002D390D&quot;/&gt;&lt;wsp:rsid wsp:val=&quot;002D4D1D&quot;/&gt;&lt;wsp:rsid wsp:val=&quot;002D794C&quot;/&gt;&lt;wsp:rsid wsp:val=&quot;002D7BBC&quot;/&gt;&lt;wsp:rsid wsp:val=&quot;002D7FEE&quot;/&gt;&lt;wsp:rsid wsp:val=&quot;002E07F1&quot;/&gt;&lt;wsp:rsid wsp:val=&quot;002E20B4&quot;/&gt;&lt;wsp:rsid wsp:val=&quot;002E2907&quot;/&gt;&lt;wsp:rsid wsp:val=&quot;002E3AFD&quot;/&gt;&lt;wsp:rsid wsp:val=&quot;002E7FA9&quot;/&gt;&lt;wsp:rsid wsp:val=&quot;002F1DEF&quot;/&gt;&lt;wsp:rsid wsp:val=&quot;002F2A9B&quot;/&gt;&lt;wsp:rsid wsp:val=&quot;002F2EE7&quot;/&gt;&lt;wsp:rsid wsp:val=&quot;002F5EE4&quot;/&gt;&lt;wsp:rsid wsp:val=&quot;002F6515&quot;/&gt;&lt;wsp:rsid wsp:val=&quot;002F6BCB&quot;/&gt;&lt;wsp:rsid wsp:val=&quot;002F7CF9&quot;/&gt;&lt;wsp:rsid wsp:val=&quot;003001E0&quot;/&gt;&lt;wsp:rsid wsp:val=&quot;00301A1D&quot;/&gt;&lt;wsp:rsid wsp:val=&quot;00302E24&quot;/&gt;&lt;wsp:rsid wsp:val=&quot;0030315F&quot;/&gt;&lt;wsp:rsid wsp:val=&quot;00303340&quot;/&gt;&lt;wsp:rsid wsp:val=&quot;00303D5E&quot;/&gt;&lt;wsp:rsid wsp:val=&quot;00305293&quot;/&gt;&lt;wsp:rsid wsp:val=&quot;00306791&quot;/&gt;&lt;wsp:rsid wsp:val=&quot;003074BF&quot;/&gt;&lt;wsp:rsid wsp:val=&quot;00307B21&quot;/&gt;&lt;wsp:rsid wsp:val=&quot;003110FD&quot;/&gt;&lt;wsp:rsid wsp:val=&quot;003128C4&quot;/&gt;&lt;wsp:rsid wsp:val=&quot;00314BE2&quot;/&gt;&lt;wsp:rsid wsp:val=&quot;003153CB&quot;/&gt;&lt;wsp:rsid wsp:val=&quot;00321B71&quot;/&gt;&lt;wsp:rsid wsp:val=&quot;0032324A&quot;/&gt;&lt;wsp:rsid wsp:val=&quot;00323C4C&quot;/&gt;&lt;wsp:rsid wsp:val=&quot;0032446F&quot;/&gt;&lt;wsp:rsid wsp:val=&quot;003261BA&quot;/&gt;&lt;wsp:rsid wsp:val=&quot;003263BB&quot;/&gt;&lt;wsp:rsid wsp:val=&quot;003304E2&quot;/&gt;&lt;wsp:rsid wsp:val=&quot;003333F4&quot;/&gt;&lt;wsp:rsid wsp:val=&quot;00335D07&quot;/&gt;&lt;wsp:rsid wsp:val=&quot;00335E0F&quot;/&gt;&lt;wsp:rsid wsp:val=&quot;00336E0D&quot;/&gt;&lt;wsp:rsid wsp:val=&quot;003379CF&quot;/&gt;&lt;wsp:rsid wsp:val=&quot;00337F84&quot;/&gt;&lt;wsp:rsid wsp:val=&quot;003412ED&quot;/&gt;&lt;wsp:rsid wsp:val=&quot;003416FC&quot;/&gt;&lt;wsp:rsid wsp:val=&quot;00341B2F&quot;/&gt;&lt;wsp:rsid wsp:val=&quot;003469D5&quot;/&gt;&lt;wsp:rsid wsp:val=&quot;00347152&quot;/&gt;&lt;wsp:rsid wsp:val=&quot;00347DEA&quot;/&gt;&lt;wsp:rsid wsp:val=&quot;00350F98&quot;/&gt;&lt;wsp:rsid wsp:val=&quot;00353D2F&quot;/&gt;&lt;wsp:rsid wsp:val=&quot;00353F9A&quot;/&gt;&lt;wsp:rsid wsp:val=&quot;00354EED&quot;/&gt;&lt;wsp:rsid wsp:val=&quot;00356831&quot;/&gt;&lt;wsp:rsid wsp:val=&quot;00357CAE&quot;/&gt;&lt;wsp:rsid wsp:val=&quot;003607EA&quot;/&gt;&lt;wsp:rsid wsp:val=&quot;0036119D&quot;/&gt;&lt;wsp:rsid wsp:val=&quot;00361872&quot;/&gt;&lt;wsp:rsid wsp:val=&quot;00363255&quot;/&gt;&lt;wsp:rsid wsp:val=&quot;0036452D&quot;/&gt;&lt;wsp:rsid wsp:val=&quot;00364A77&quot;/&gt;&lt;wsp:rsid wsp:val=&quot;00365AE8&quot;/&gt;&lt;wsp:rsid wsp:val=&quot;00365CEF&quot;/&gt;&lt;wsp:rsid wsp:val=&quot;00365E70&quot;/&gt;&lt;wsp:rsid wsp:val=&quot;003673D9&quot;/&gt;&lt;wsp:rsid wsp:val=&quot;00367929&quot;/&gt;&lt;wsp:rsid wsp:val=&quot;00367F28&quot;/&gt;&lt;wsp:rsid wsp:val=&quot;00367FC4&quot;/&gt;&lt;wsp:rsid wsp:val=&quot;00372575&quot;/&gt;&lt;wsp:rsid wsp:val=&quot;0037308D&quot;/&gt;&lt;wsp:rsid wsp:val=&quot;00373198&quot;/&gt;&lt;wsp:rsid wsp:val=&quot;0037334B&quot;/&gt;&lt;wsp:rsid wsp:val=&quot;00373420&quot;/&gt;&lt;wsp:rsid wsp:val=&quot;00385EFD&quot;/&gt;&lt;wsp:rsid wsp:val=&quot;00386130&quot;/&gt;&lt;wsp:rsid wsp:val=&quot;0038696A&quot;/&gt;&lt;wsp:rsid wsp:val=&quot;003871FD&quot;/&gt;&lt;wsp:rsid wsp:val=&quot;00387F69&quot;/&gt;&lt;wsp:rsid wsp:val=&quot;00390B71&quot;/&gt;&lt;wsp:rsid wsp:val=&quot;003921AA&quot;/&gt;&lt;wsp:rsid wsp:val=&quot;003923C4&quot;/&gt;&lt;wsp:rsid wsp:val=&quot;00392518&quot;/&gt;&lt;wsp:rsid wsp:val=&quot;003952D5&quot;/&gt;&lt;wsp:rsid wsp:val=&quot;003955D6&quot;/&gt;&lt;wsp:rsid wsp:val=&quot;00395CA6&quot;/&gt;&lt;wsp:rsid wsp:val=&quot;003976CD&quot;/&gt;&lt;wsp:rsid wsp:val=&quot;003976F9&quot;/&gt;&lt;wsp:rsid wsp:val=&quot;003979BC&quot;/&gt;&lt;wsp:rsid wsp:val=&quot;003A3A4B&quot;/&gt;&lt;wsp:rsid wsp:val=&quot;003A4B08&quot;/&gt;&lt;wsp:rsid wsp:val=&quot;003B07B6&quot;/&gt;&lt;wsp:rsid wsp:val=&quot;003B09E9&quot;/&gt;&lt;wsp:rsid wsp:val=&quot;003B64B8&quot;/&gt;&lt;wsp:rsid wsp:val=&quot;003B6546&quot;/&gt;&lt;wsp:rsid wsp:val=&quot;003B6A87&quot;/&gt;&lt;wsp:rsid wsp:val=&quot;003B7BC5&quot;/&gt;&lt;wsp:rsid wsp:val=&quot;003C1640&quot;/&gt;&lt;wsp:rsid wsp:val=&quot;003C20C2&quot;/&gt;&lt;wsp:rsid wsp:val=&quot;003C298E&quot;/&gt;&lt;wsp:rsid wsp:val=&quot;003C3952&quot;/&gt;&lt;wsp:rsid wsp:val=&quot;003C48B6&quot;/&gt;&lt;wsp:rsid wsp:val=&quot;003C5CB9&quot;/&gt;&lt;wsp:rsid wsp:val=&quot;003D0053&quot;/&gt;&lt;wsp:rsid wsp:val=&quot;003D068A&quot;/&gt;&lt;wsp:rsid wsp:val=&quot;003D0EEB&quot;/&gt;&lt;wsp:rsid wsp:val=&quot;003D23B5&quot;/&gt;&lt;wsp:rsid wsp:val=&quot;003E05C5&quot;/&gt;&lt;wsp:rsid wsp:val=&quot;003E1CE1&quot;/&gt;&lt;wsp:rsid wsp:val=&quot;003E2ADE&quot;/&gt;&lt;wsp:rsid wsp:val=&quot;003E38AE&quot;/&gt;&lt;wsp:rsid wsp:val=&quot;003E3965&quot;/&gt;&lt;wsp:rsid wsp:val=&quot;003E537D&quot;/&gt;&lt;wsp:rsid wsp:val=&quot;003F0CF3&quot;/&gt;&lt;wsp:rsid wsp:val=&quot;003F1AD0&quot;/&gt;&lt;wsp:rsid wsp:val=&quot;003F24B1&quot;/&gt;&lt;wsp:rsid wsp:val=&quot;003F2EC8&quot;/&gt;&lt;wsp:rsid wsp:val=&quot;003F438A&quot;/&gt;&lt;wsp:rsid wsp:val=&quot;003F4DE7&quot;/&gt;&lt;wsp:rsid wsp:val=&quot;00401359&quot;/&gt;&lt;wsp:rsid wsp:val=&quot;00402394&quot;/&gt;&lt;wsp:rsid wsp:val=&quot;0040494A&quot;/&gt;&lt;wsp:rsid wsp:val=&quot;00404DC1&quot;/&gt;&lt;wsp:rsid wsp:val=&quot;00406370&quot;/&gt;&lt;wsp:rsid wsp:val=&quot;0040664F&quot;/&gt;&lt;wsp:rsid wsp:val=&quot;00407481&quot;/&gt;&lt;wsp:rsid wsp:val=&quot;00412CE9&quot;/&gt;&lt;wsp:rsid wsp:val=&quot;004145C9&quot;/&gt;&lt;wsp:rsid wsp:val=&quot;00420136&quot;/&gt;&lt;wsp:rsid wsp:val=&quot;004201F7&quot;/&gt;&lt;wsp:rsid wsp:val=&quot;004211E5&quot;/&gt;&lt;wsp:rsid wsp:val=&quot;00421932&quot;/&gt;&lt;wsp:rsid wsp:val=&quot;004239CA&quot;/&gt;&lt;wsp:rsid wsp:val=&quot;00423FBF&quot;/&gt;&lt;wsp:rsid wsp:val=&quot;00426255&quot;/&gt;&lt;wsp:rsid wsp:val=&quot;0043308D&quot;/&gt;&lt;wsp:rsid wsp:val=&quot;00434060&quot;/&gt;&lt;wsp:rsid wsp:val=&quot;004367F3&quot;/&gt;&lt;wsp:rsid wsp:val=&quot;00436C7B&quot;/&gt;&lt;wsp:rsid wsp:val=&quot;00440177&quot;/&gt;&lt;wsp:rsid wsp:val=&quot;0044058C&quot;/&gt;&lt;wsp:rsid wsp:val=&quot;0044117F&quot;/&gt;&lt;wsp:rsid wsp:val=&quot;004441CD&quot;/&gt;&lt;wsp:rsid wsp:val=&quot;00445273&quot;/&gt;&lt;wsp:rsid wsp:val=&quot;00447043&quot;/&gt;&lt;wsp:rsid wsp:val=&quot;00451AFC&quot;/&gt;&lt;wsp:rsid wsp:val=&quot;004525DA&quot;/&gt;&lt;wsp:rsid wsp:val=&quot;00453EB9&quot;/&gt;&lt;wsp:rsid wsp:val=&quot;0045540A&quot;/&gt;&lt;wsp:rsid wsp:val=&quot;00455506&quot;/&gt;&lt;wsp:rsid wsp:val=&quot;00465403&quot;/&gt;&lt;wsp:rsid wsp:val=&quot;00466304&quot;/&gt;&lt;wsp:rsid wsp:val=&quot;00470F08&quot;/&gt;&lt;wsp:rsid wsp:val=&quot;00471007&quot;/&gt;&lt;wsp:rsid wsp:val=&quot;0047288D&quot;/&gt;&lt;wsp:rsid wsp:val=&quot;00473E2F&quot;/&gt;&lt;wsp:rsid wsp:val=&quot;004772E6&quot;/&gt;&lt;wsp:rsid wsp:val=&quot;00483E69&quot;/&gt;&lt;wsp:rsid wsp:val=&quot;00485D3A&quot;/&gt;&lt;wsp:rsid wsp:val=&quot;00485FDD&quot;/&gt;&lt;wsp:rsid wsp:val=&quot;00486A45&quot;/&gt;&lt;wsp:rsid wsp:val=&quot;0048733B&quot;/&gt;&lt;wsp:rsid wsp:val=&quot;00490331&quot;/&gt;&lt;wsp:rsid wsp:val=&quot;00491AAC&quot;/&gt;&lt;wsp:rsid wsp:val=&quot;0049260C&quot;/&gt;&lt;wsp:rsid wsp:val=&quot;004938D8&quot;/&gt;&lt;wsp:rsid wsp:val=&quot;00494EB5&quot;/&gt;&lt;wsp:rsid wsp:val=&quot;0049570A&quot;/&gt;&lt;wsp:rsid wsp:val=&quot;004959A4&quot;/&gt;&lt;wsp:rsid wsp:val=&quot;00495D38&quot;/&gt;&lt;wsp:rsid wsp:val=&quot;00496583&quot;/&gt;&lt;wsp:rsid wsp:val=&quot;004A34AD&quot;/&gt;&lt;wsp:rsid wsp:val=&quot;004A4F87&quot;/&gt;&lt;wsp:rsid wsp:val=&quot;004A50BC&quot;/&gt;&lt;wsp:rsid wsp:val=&quot;004B09DF&quot;/&gt;&lt;wsp:rsid wsp:val=&quot;004B192A&quot;/&gt;&lt;wsp:rsid wsp:val=&quot;004B3082&quot;/&gt;&lt;wsp:rsid wsp:val=&quot;004B6E2D&quot;/&gt;&lt;wsp:rsid wsp:val=&quot;004C0097&quot;/&gt;&lt;wsp:rsid wsp:val=&quot;004C042E&quot;/&gt;&lt;wsp:rsid wsp:val=&quot;004C0536&quot;/&gt;&lt;wsp:rsid wsp:val=&quot;004C1267&quot;/&gt;&lt;wsp:rsid wsp:val=&quot;004C416A&quot;/&gt;&lt;wsp:rsid wsp:val=&quot;004C63A5&quot;/&gt;&lt;wsp:rsid wsp:val=&quot;004C6ACA&quot;/&gt;&lt;wsp:rsid wsp:val=&quot;004C7F50&quot;/&gt;&lt;wsp:rsid wsp:val=&quot;004D008A&quot;/&gt;&lt;wsp:rsid wsp:val=&quot;004D0C67&quot;/&gt;&lt;wsp:rsid wsp:val=&quot;004D211E&quot;/&gt;&lt;wsp:rsid wsp:val=&quot;004D3AC7&quot;/&gt;&lt;wsp:rsid wsp:val=&quot;004D4C5E&quot;/&gt;&lt;wsp:rsid wsp:val=&quot;004D6AF3&quot;/&gt;&lt;wsp:rsid wsp:val=&quot;004E067F&quot;/&gt;&lt;wsp:rsid wsp:val=&quot;004E0B0B&quot;/&gt;&lt;wsp:rsid wsp:val=&quot;004E13DA&quot;/&gt;&lt;wsp:rsid wsp:val=&quot;004E3E40&quot;/&gt;&lt;wsp:rsid wsp:val=&quot;004E7D3E&quot;/&gt;&lt;wsp:rsid wsp:val=&quot;004F10DC&quot;/&gt;&lt;wsp:rsid wsp:val=&quot;004F17CF&quot;/&gt;&lt;wsp:rsid wsp:val=&quot;004F1BFD&quot;/&gt;&lt;wsp:rsid wsp:val=&quot;004F42AA&quot;/&gt;&lt;wsp:rsid wsp:val=&quot;004F47F8&quot;/&gt;&lt;wsp:rsid wsp:val=&quot;004F49FA&quot;/&gt;&lt;wsp:rsid wsp:val=&quot;004F6595&quot;/&gt;&lt;wsp:rsid wsp:val=&quot;004F7222&quot;/&gt;&lt;wsp:rsid wsp:val=&quot;004F7C3A&quot;/&gt;&lt;wsp:rsid wsp:val=&quot;0050011A&quot;/&gt;&lt;wsp:rsid wsp:val=&quot;00500314&quot;/&gt;&lt;wsp:rsid wsp:val=&quot;0050040A&quot;/&gt;&lt;wsp:rsid wsp:val=&quot;005048BC&quot;/&gt;&lt;wsp:rsid wsp:val=&quot;0050762C&quot;/&gt;&lt;wsp:rsid wsp:val=&quot;00513466&quot;/&gt;&lt;wsp:rsid wsp:val=&quot;00513FC4&quot;/&gt;&lt;wsp:rsid wsp:val=&quot;00516B99&quot;/&gt;&lt;wsp:rsid wsp:val=&quot;0052230F&quot;/&gt;&lt;wsp:rsid wsp:val=&quot;005263EB&quot;/&gt;&lt;wsp:rsid wsp:val=&quot;00531B6D&quot;/&gt;&lt;wsp:rsid wsp:val=&quot;005355E9&quot;/&gt;&lt;wsp:rsid wsp:val=&quot;005377BC&quot;/&gt;&lt;wsp:rsid wsp:val=&quot;00537887&quot;/&gt;&lt;wsp:rsid wsp:val=&quot;00537FE2&quot;/&gt;&lt;wsp:rsid wsp:val=&quot;0054112B&quot;/&gt;&lt;wsp:rsid wsp:val=&quot;00541C36&quot;/&gt;&lt;wsp:rsid wsp:val=&quot;00543CBF&quot;/&gt;&lt;wsp:rsid wsp:val=&quot;00544EB8&quot;/&gt;&lt;wsp:rsid wsp:val=&quot;005457B9&quot;/&gt;&lt;wsp:rsid wsp:val=&quot;00552604&quot;/&gt;&lt;wsp:rsid wsp:val=&quot;00552B2A&quot;/&gt;&lt;wsp:rsid wsp:val=&quot;00552E11&quot;/&gt;&lt;wsp:rsid wsp:val=&quot;0055531C&quot;/&gt;&lt;wsp:rsid wsp:val=&quot;005556DA&quot;/&gt;&lt;wsp:rsid wsp:val=&quot;005556DD&quot;/&gt;&lt;wsp:rsid wsp:val=&quot;00556D35&quot;/&gt;&lt;wsp:rsid wsp:val=&quot;0056089C&quot;/&gt;&lt;wsp:rsid wsp:val=&quot;00561A24&quot;/&gt;&lt;wsp:rsid wsp:val=&quot;00562C25&quot;/&gt;&lt;wsp:rsid wsp:val=&quot;0056462B&quot;/&gt;&lt;wsp:rsid wsp:val=&quot;005659B3&quot;/&gt;&lt;wsp:rsid wsp:val=&quot;00566C48&quot;/&gt;&lt;wsp:rsid wsp:val=&quot;0057343A&quot;/&gt;&lt;wsp:rsid wsp:val=&quot;0057366B&quot;/&gt;&lt;wsp:rsid wsp:val=&quot;00574598&quot;/&gt;&lt;wsp:rsid wsp:val=&quot;00576DA0&quot;/&gt;&lt;wsp:rsid wsp:val=&quot;005771B5&quot;/&gt;&lt;wsp:rsid wsp:val=&quot;005775FF&quot;/&gt;&lt;wsp:rsid wsp:val=&quot;00577BAC&quot;/&gt;&lt;wsp:rsid wsp:val=&quot;005810DE&quot;/&gt;&lt;wsp:rsid wsp:val=&quot;00582020&quot;/&gt;&lt;wsp:rsid wsp:val=&quot;00582A3D&quot;/&gt;&lt;wsp:rsid wsp:val=&quot;00582F0B&quot;/&gt;&lt;wsp:rsid wsp:val=&quot;00583B0C&quot;/&gt;&lt;wsp:rsid wsp:val=&quot;00583CF7&quot;/&gt;&lt;wsp:rsid wsp:val=&quot;00583FD9&quot;/&gt;&lt;wsp:rsid wsp:val=&quot;00584BCF&quot;/&gt;&lt;wsp:rsid wsp:val=&quot;00591EB0&quot;/&gt;&lt;wsp:rsid wsp:val=&quot;005921D6&quot;/&gt;&lt;wsp:rsid wsp:val=&quot;00592ABB&quot;/&gt;&lt;wsp:rsid wsp:val=&quot;00593355&quot;/&gt;&lt;wsp:rsid wsp:val=&quot;00596838&quot;/&gt;&lt;wsp:rsid wsp:val=&quot;005978CE&quot;/&gt;&lt;wsp:rsid wsp:val=&quot;005979E5&quot;/&gt;&lt;wsp:rsid wsp:val=&quot;005A1273&quot;/&gt;&lt;wsp:rsid wsp:val=&quot;005A1A96&quot;/&gt;&lt;wsp:rsid wsp:val=&quot;005A301C&quot;/&gt;&lt;wsp:rsid wsp:val=&quot;005A450B&quot;/&gt;&lt;wsp:rsid wsp:val=&quot;005A458F&quot;/&gt;&lt;wsp:rsid wsp:val=&quot;005A46AC&quot;/&gt;&lt;wsp:rsid wsp:val=&quot;005A5562&quot;/&gt;&lt;wsp:rsid wsp:val=&quot;005A5E2E&quot;/&gt;&lt;wsp:rsid wsp:val=&quot;005A6822&quot;/&gt;&lt;wsp:rsid wsp:val=&quot;005A6B44&quot;/&gt;&lt;wsp:rsid wsp:val=&quot;005A7991&quot;/&gt;&lt;wsp:rsid wsp:val=&quot;005B15D7&quot;/&gt;&lt;wsp:rsid wsp:val=&quot;005B2293&quot;/&gt;&lt;wsp:rsid wsp:val=&quot;005B32E3&quot;/&gt;&lt;wsp:rsid wsp:val=&quot;005B40F1&quot;/&gt;&lt;wsp:rsid wsp:val=&quot;005B4926&quot;/&gt;&lt;wsp:rsid wsp:val=&quot;005B54CC&quot;/&gt;&lt;wsp:rsid wsp:val=&quot;005B6265&quot;/&gt;&lt;wsp:rsid wsp:val=&quot;005B6346&quot;/&gt;&lt;wsp:rsid wsp:val=&quot;005B6AD4&quot;/&gt;&lt;wsp:rsid wsp:val=&quot;005B72DA&quot;/&gt;&lt;wsp:rsid wsp:val=&quot;005C27FE&quot;/&gt;&lt;wsp:rsid wsp:val=&quot;005C3CD8&quot;/&gt;&lt;wsp:rsid wsp:val=&quot;005C3D47&quot;/&gt;&lt;wsp:rsid wsp:val=&quot;005C4EDC&quot;/&gt;&lt;wsp:rsid wsp:val=&quot;005C5608&quot;/&gt;&lt;wsp:rsid wsp:val=&quot;005D0611&quot;/&gt;&lt;wsp:rsid wsp:val=&quot;005D110A&quot;/&gt;&lt;wsp:rsid wsp:val=&quot;005D1D8B&quot;/&gt;&lt;wsp:rsid wsp:val=&quot;005D2189&quot;/&gt;&lt;wsp:rsid wsp:val=&quot;005D2288&quot;/&gt;&lt;wsp:rsid wsp:val=&quot;005D4422&quot;/&gt;&lt;wsp:rsid wsp:val=&quot;005E0776&quot;/&gt;&lt;wsp:rsid wsp:val=&quot;005E1A7B&quot;/&gt;&lt;wsp:rsid wsp:val=&quot;005E41ED&quot;/&gt;&lt;wsp:rsid wsp:val=&quot;005F07EB&quot;/&gt;&lt;wsp:rsid wsp:val=&quot;005F1354&quot;/&gt;&lt;wsp:rsid wsp:val=&quot;005F5AA0&quot;/&gt;&lt;wsp:rsid wsp:val=&quot;00600365&quot;/&gt;&lt;wsp:rsid wsp:val=&quot;006017CD&quot;/&gt;&lt;wsp:rsid wsp:val=&quot;00604244&quot;/&gt;&lt;wsp:rsid wsp:val=&quot;00604271&quot;/&gt;&lt;wsp:rsid wsp:val=&quot;00605324&quot;/&gt;&lt;wsp:rsid wsp:val=&quot;00605D74&quot;/&gt;&lt;wsp:rsid wsp:val=&quot;00605E30&quot;/&gt;&lt;wsp:rsid wsp:val=&quot;00607AC9&quot;/&gt;&lt;wsp:rsid wsp:val=&quot;00611658&quot;/&gt;&lt;wsp:rsid wsp:val=&quot;00611EE2&quot;/&gt;&lt;wsp:rsid wsp:val=&quot;00615DCF&quot;/&gt;&lt;wsp:rsid wsp:val=&quot;00620440&quot;/&gt;&lt;wsp:rsid wsp:val=&quot;0062124B&quot;/&gt;&lt;wsp:rsid wsp:val=&quot;00621338&quot;/&gt;&lt;wsp:rsid wsp:val=&quot;0062418F&quot;/&gt;&lt;wsp:rsid wsp:val=&quot;006241B4&quot;/&gt;&lt;wsp:rsid wsp:val=&quot;006250BE&quot;/&gt;&lt;wsp:rsid wsp:val=&quot;00625588&quot;/&gt;&lt;wsp:rsid wsp:val=&quot;00632066&quot;/&gt;&lt;wsp:rsid wsp:val=&quot;006325FC&quot;/&gt;&lt;wsp:rsid wsp:val=&quot;00633560&quot;/&gt;&lt;wsp:rsid wsp:val=&quot;00635904&quot;/&gt;&lt;wsp:rsid wsp:val=&quot;0063688A&quot;/&gt;&lt;wsp:rsid wsp:val=&quot;00636EC7&quot;/&gt;&lt;wsp:rsid wsp:val=&quot;0063786F&quot;/&gt;&lt;wsp:rsid wsp:val=&quot;006418FE&quot;/&gt;&lt;wsp:rsid wsp:val=&quot;00642D9E&quot;/&gt;&lt;wsp:rsid wsp:val=&quot;0064537F&quot;/&gt;&lt;wsp:rsid wsp:val=&quot;006465BE&quot;/&gt;&lt;wsp:rsid wsp:val=&quot;00650251&quot;/&gt;&lt;wsp:rsid wsp:val=&quot;00651175&quot;/&gt;&lt;wsp:rsid wsp:val=&quot;00651478&quot;/&gt;&lt;wsp:rsid wsp:val=&quot;0065222A&quot;/&gt;&lt;wsp:rsid wsp:val=&quot;0065387C&quot;/&gt;&lt;wsp:rsid wsp:val=&quot;006548FF&quot;/&gt;&lt;wsp:rsid wsp:val=&quot;00657189&quot;/&gt;&lt;wsp:rsid wsp:val=&quot;00660F0D&quot;/&gt;&lt;wsp:rsid wsp:val=&quot;006637EC&quot;/&gt;&lt;wsp:rsid wsp:val=&quot;006652F2&quot;/&gt;&lt;wsp:rsid wsp:val=&quot;0066639C&quot;/&gt;&lt;wsp:rsid wsp:val=&quot;006673F3&quot;/&gt;&lt;wsp:rsid wsp:val=&quot;00667A8A&quot;/&gt;&lt;wsp:rsid wsp:val=&quot;006730BB&quot;/&gt;&lt;wsp:rsid wsp:val=&quot;006739C2&quot;/&gt;&lt;wsp:rsid wsp:val=&quot;00674A21&quot;/&gt;&lt;wsp:rsid wsp:val=&quot;0068088A&quot;/&gt;&lt;wsp:rsid wsp:val=&quot;00682E98&quot;/&gt;&lt;wsp:rsid wsp:val=&quot;00683227&quot;/&gt;&lt;wsp:rsid wsp:val=&quot;00686048&quot;/&gt;&lt;wsp:rsid wsp:val=&quot;00686BA3&quot;/&gt;&lt;wsp:rsid wsp:val=&quot;0069144E&quot;/&gt;&lt;wsp:rsid wsp:val=&quot;006919E9&quot;/&gt;&lt;wsp:rsid wsp:val=&quot;006930D7&quot;/&gt;&lt;wsp:rsid wsp:val=&quot;006930EA&quot;/&gt;&lt;wsp:rsid wsp:val=&quot;00694A5F&quot;/&gt;&lt;wsp:rsid wsp:val=&quot;006A1778&quot;/&gt;&lt;wsp:rsid wsp:val=&quot;006A24B6&quot;/&gt;&lt;wsp:rsid wsp:val=&quot;006B2449&quot;/&gt;&lt;wsp:rsid wsp:val=&quot;006B2834&quot;/&gt;&lt;wsp:rsid wsp:val=&quot;006B30F8&quot;/&gt;&lt;wsp:rsid wsp:val=&quot;006B3DDB&quot;/&gt;&lt;wsp:rsid wsp:val=&quot;006B3E33&quot;/&gt;&lt;wsp:rsid wsp:val=&quot;006C10D4&quot;/&gt;&lt;wsp:rsid wsp:val=&quot;006C19B6&quot;/&gt;&lt;wsp:rsid wsp:val=&quot;006C3EDF&quot;/&gt;&lt;wsp:rsid wsp:val=&quot;006C454A&quot;/&gt;&lt;wsp:rsid wsp:val=&quot;006C4726&quot;/&gt;&lt;wsp:rsid wsp:val=&quot;006C47FA&quot;/&gt;&lt;wsp:rsid wsp:val=&quot;006C60AD&quot;/&gt;&lt;wsp:rsid wsp:val=&quot;006C73DD&quot;/&gt;&lt;wsp:rsid wsp:val=&quot;006D0A19&quot;/&gt;&lt;wsp:rsid wsp:val=&quot;006D114B&quot;/&gt;&lt;wsp:rsid wsp:val=&quot;006D2E67&quot;/&gt;&lt;wsp:rsid wsp:val=&quot;006D6AFC&quot;/&gt;&lt;wsp:rsid wsp:val=&quot;006D6B93&quot;/&gt;&lt;wsp:rsid wsp:val=&quot;006D751A&quot;/&gt;&lt;wsp:rsid wsp:val=&quot;006D7865&quot;/&gt;&lt;wsp:rsid wsp:val=&quot;006D7F10&quot;/&gt;&lt;wsp:rsid wsp:val=&quot;006E28B4&quot;/&gt;&lt;wsp:rsid wsp:val=&quot;006E3854&quot;/&gt;&lt;wsp:rsid wsp:val=&quot;006E6874&quot;/&gt;&lt;wsp:rsid wsp:val=&quot;006E6A44&quot;/&gt;&lt;wsp:rsid wsp:val=&quot;006E7C56&quot;/&gt;&lt;wsp:rsid wsp:val=&quot;006F29CE&quot;/&gt;&lt;wsp:rsid wsp:val=&quot;006F2FAA&quot;/&gt;&lt;wsp:rsid wsp:val=&quot;006F3F28&quot;/&gt;&lt;wsp:rsid wsp:val=&quot;006F4436&quot;/&gt;&lt;wsp:rsid wsp:val=&quot;006F4B04&quot;/&gt;&lt;wsp:rsid wsp:val=&quot;006F5C54&quot;/&gt;&lt;wsp:rsid wsp:val=&quot;006F7651&quot;/&gt;&lt;wsp:rsid wsp:val=&quot;006F7D57&quot;/&gt;&lt;wsp:rsid wsp:val=&quot;00700688&quot;/&gt;&lt;wsp:rsid wsp:val=&quot;00700DCE&quot;/&gt;&lt;wsp:rsid wsp:val=&quot;00701135&quot;/&gt;&lt;wsp:rsid wsp:val=&quot;00701CC0&quot;/&gt;&lt;wsp:rsid wsp:val=&quot;0070525E&quot;/&gt;&lt;wsp:rsid wsp:val=&quot;00705AB9&quot;/&gt;&lt;wsp:rsid wsp:val=&quot;00706BBB&quot;/&gt;&lt;wsp:rsid wsp:val=&quot;00706D4D&quot;/&gt;&lt;wsp:rsid wsp:val=&quot;007114B3&quot;/&gt;&lt;wsp:rsid wsp:val=&quot;00712448&quot;/&gt;&lt;wsp:rsid wsp:val=&quot;007128BA&quot;/&gt;&lt;wsp:rsid wsp:val=&quot;00714637&quot;/&gt;&lt;wsp:rsid wsp:val=&quot;00715706&quot;/&gt;&lt;wsp:rsid wsp:val=&quot;00716F72&quot;/&gt;&lt;wsp:rsid wsp:val=&quot;007210F3&quot;/&gt;&lt;wsp:rsid wsp:val=&quot;00730132&quot;/&gt;&lt;wsp:rsid wsp:val=&quot;007309DF&quot;/&gt;&lt;wsp:rsid wsp:val=&quot;00733418&quot;/&gt;&lt;wsp:rsid wsp:val=&quot;00734782&quot;/&gt;&lt;wsp:rsid wsp:val=&quot;00736A90&quot;/&gt;&lt;wsp:rsid wsp:val=&quot;007375D3&quot;/&gt;&lt;wsp:rsid wsp:val=&quot;00740125&quot;/&gt;&lt;wsp:rsid wsp:val=&quot;00741D90&quot;/&gt;&lt;wsp:rsid wsp:val=&quot;00742C71&quot;/&gt;&lt;wsp:rsid wsp:val=&quot;00742D00&quot;/&gt;&lt;wsp:rsid wsp:val=&quot;007440D8&quot;/&gt;&lt;wsp:rsid wsp:val=&quot;0074538B&quot;/&gt;&lt;wsp:rsid wsp:val=&quot;00745C65&quot;/&gt;&lt;wsp:rsid wsp:val=&quot;00746C10&quot;/&gt;&lt;wsp:rsid wsp:val=&quot;00746DB9&quot;/&gt;&lt;wsp:rsid wsp:val=&quot;0074743C&quot;/&gt;&lt;wsp:rsid wsp:val=&quot;00750391&quot;/&gt;&lt;wsp:rsid wsp:val=&quot;00750913&quot;/&gt;&lt;wsp:rsid wsp:val=&quot;007572CD&quot;/&gt;&lt;wsp:rsid wsp:val=&quot;00757590&quot;/&gt;&lt;wsp:rsid wsp:val=&quot;00757EE8&quot;/&gt;&lt;wsp:rsid wsp:val=&quot;00762001&quot;/&gt;&lt;wsp:rsid wsp:val=&quot;00763802&quot;/&gt;&lt;wsp:rsid wsp:val=&quot;0076423D&quot;/&gt;&lt;wsp:rsid wsp:val=&quot;007662A0&quot;/&gt;&lt;wsp:rsid wsp:val=&quot;00766DAE&quot;/&gt;&lt;wsp:rsid wsp:val=&quot;00766E70&quot;/&gt;&lt;wsp:rsid wsp:val=&quot;00770813&quot;/&gt;&lt;wsp:rsid wsp:val=&quot;00771145&quot;/&gt;&lt;wsp:rsid wsp:val=&quot;00771A26&quot;/&gt;&lt;wsp:rsid wsp:val=&quot;0077361A&quot;/&gt;&lt;wsp:rsid wsp:val=&quot;00773E33&quot;/&gt;&lt;wsp:rsid wsp:val=&quot;007743A3&quot;/&gt;&lt;wsp:rsid wsp:val=&quot;0077654F&quot;/&gt;&lt;wsp:rsid wsp:val=&quot;0077699C&quot;/&gt;&lt;wsp:rsid wsp:val=&quot;00776C26&quot;/&gt;&lt;wsp:rsid wsp:val=&quot;00777284&quot;/&gt;&lt;wsp:rsid wsp:val=&quot;00780593&quot;/&gt;&lt;wsp:rsid wsp:val=&quot;007829FD&quot;/&gt;&lt;wsp:rsid wsp:val=&quot;00782FE0&quot;/&gt;&lt;wsp:rsid wsp:val=&quot;00784886&quot;/&gt;&lt;wsp:rsid wsp:val=&quot;00785263&quot;/&gt;&lt;wsp:rsid wsp:val=&quot;007857A0&quot;/&gt;&lt;wsp:rsid wsp:val=&quot;007861E5&quot;/&gt;&lt;wsp:rsid wsp:val=&quot;00787AF0&quot;/&gt;&lt;wsp:rsid wsp:val=&quot;00787DD0&quot;/&gt;&lt;wsp:rsid wsp:val=&quot;00792805&quot;/&gt;&lt;wsp:rsid wsp:val=&quot;00792DF5&quot;/&gt;&lt;wsp:rsid wsp:val=&quot;00792DFE&quot;/&gt;&lt;wsp:rsid wsp:val=&quot;00793F08&quot;/&gt;&lt;wsp:rsid wsp:val=&quot;00794952&quot;/&gt;&lt;wsp:rsid wsp:val=&quot;007949D9&quot;/&gt;&lt;wsp:rsid wsp:val=&quot;00794A59&quot;/&gt;&lt;wsp:rsid wsp:val=&quot;00795848&quot;/&gt;&lt;wsp:rsid wsp:val=&quot;00796A28&quot;/&gt;&lt;wsp:rsid wsp:val=&quot;00797C7E&quot;/&gt;&lt;wsp:rsid wsp:val=&quot;007A0EC4&quot;/&gt;&lt;wsp:rsid wsp:val=&quot;007A28C3&quot;/&gt;&lt;wsp:rsid wsp:val=&quot;007A5C44&quot;/&gt;&lt;wsp:rsid wsp:val=&quot;007B0043&quot;/&gt;&lt;wsp:rsid wsp:val=&quot;007B0213&quot;/&gt;&lt;wsp:rsid wsp:val=&quot;007B0732&quot;/&gt;&lt;wsp:rsid wsp:val=&quot;007B0F19&quot;/&gt;&lt;wsp:rsid wsp:val=&quot;007B29DB&quot;/&gt;&lt;wsp:rsid wsp:val=&quot;007B31E3&quot;/&gt;&lt;wsp:rsid wsp:val=&quot;007B367F&quot;/&gt;&lt;wsp:rsid wsp:val=&quot;007B394B&quot;/&gt;&lt;wsp:rsid wsp:val=&quot;007B686F&quot;/&gt;&lt;wsp:rsid wsp:val=&quot;007B6875&quot;/&gt;&lt;wsp:rsid wsp:val=&quot;007B7381&quot;/&gt;&lt;wsp:rsid wsp:val=&quot;007C17B9&quot;/&gt;&lt;wsp:rsid wsp:val=&quot;007C1963&quot;/&gt;&lt;wsp:rsid wsp:val=&quot;007C1AAB&quot;/&gt;&lt;wsp:rsid wsp:val=&quot;007C1EA2&quot;/&gt;&lt;wsp:rsid wsp:val=&quot;007C2D3E&quot;/&gt;&lt;wsp:rsid wsp:val=&quot;007C4511&quot;/&gt;&lt;wsp:rsid wsp:val=&quot;007C76E4&quot;/&gt;&lt;wsp:rsid wsp:val=&quot;007D1429&quot;/&gt;&lt;wsp:rsid wsp:val=&quot;007D3738&quot;/&gt;&lt;wsp:rsid wsp:val=&quot;007D3C5C&quot;/&gt;&lt;wsp:rsid wsp:val=&quot;007E1CAB&quot;/&gt;&lt;wsp:rsid wsp:val=&quot;007E362A&quot;/&gt;&lt;wsp:rsid wsp:val=&quot;007E5B3F&quot;/&gt;&lt;wsp:rsid wsp:val=&quot;007E64A2&quot;/&gt;&lt;wsp:rsid wsp:val=&quot;007F0A58&quot;/&gt;&lt;wsp:rsid wsp:val=&quot;007F1BB6&quot;/&gt;&lt;wsp:rsid wsp:val=&quot;007F1E62&quot;/&gt;&lt;wsp:rsid wsp:val=&quot;007F2156&quot;/&gt;&lt;wsp:rsid wsp:val=&quot;007F2C0A&quot;/&gt;&lt;wsp:rsid wsp:val=&quot;007F52E3&quot;/&gt;&lt;wsp:rsid wsp:val=&quot;008019F8&quot;/&gt;&lt;wsp:rsid wsp:val=&quot;00802491&quot;/&gt;&lt;wsp:rsid wsp:val=&quot;0080280E&quot;/&gt;&lt;wsp:rsid wsp:val=&quot;008030F9&quot;/&gt;&lt;wsp:rsid wsp:val=&quot;0081015F&quot;/&gt;&lt;wsp:rsid wsp:val=&quot;008122CA&quot;/&gt;&lt;wsp:rsid wsp:val=&quot;00812A67&quot;/&gt;&lt;wsp:rsid wsp:val=&quot;00816509&quot;/&gt;&lt;wsp:rsid wsp:val=&quot;008168A2&quot;/&gt;&lt;wsp:rsid wsp:val=&quot;00816E51&quot;/&gt;&lt;wsp:rsid wsp:val=&quot;00817E8C&quot;/&gt;&lt;wsp:rsid wsp:val=&quot;00820F1E&quot;/&gt;&lt;wsp:rsid wsp:val=&quot;00821C2F&quot;/&gt;&lt;wsp:rsid wsp:val=&quot;00821F18&quot;/&gt;&lt;wsp:rsid wsp:val=&quot;00822945&quot;/&gt;&lt;wsp:rsid wsp:val=&quot;00824161&quot;/&gt;&lt;wsp:rsid wsp:val=&quot;008249DE&quot;/&gt;&lt;wsp:rsid wsp:val=&quot;00825EB2&quot;/&gt;&lt;wsp:rsid wsp:val=&quot;00832AA3&quot;/&gt;&lt;wsp:rsid wsp:val=&quot;00832CF1&quot;/&gt;&lt;wsp:rsid wsp:val=&quot;00834A74&quot;/&gt;&lt;wsp:rsid wsp:val=&quot;00834F59&quot;/&gt;&lt;wsp:rsid wsp:val=&quot;00837C5E&quot;/&gt;&lt;wsp:rsid wsp:val=&quot;008401A5&quot;/&gt;&lt;wsp:rsid wsp:val=&quot;008415F2&quot;/&gt;&lt;wsp:rsid wsp:val=&quot;00841893&quot;/&gt;&lt;wsp:rsid wsp:val=&quot;008430CF&quot;/&gt;&lt;wsp:rsid wsp:val=&quot;00843CA3&quot;/&gt;&lt;wsp:rsid wsp:val=&quot;00846F31&quot;/&gt;&lt;wsp:rsid wsp:val=&quot;00851E29&quot;/&gt;&lt;wsp:rsid wsp:val=&quot;008520FC&quot;/&gt;&lt;wsp:rsid wsp:val=&quot;008522EC&quot;/&gt;&lt;wsp:rsid wsp:val=&quot;00852752&quot;/&gt;&lt;wsp:rsid wsp:val=&quot;008527EC&quot;/&gt;&lt;wsp:rsid wsp:val=&quot;00853C1A&quot;/&gt;&lt;wsp:rsid wsp:val=&quot;00853E9B&quot;/&gt;&lt;wsp:rsid wsp:val=&quot;00857352&quot;/&gt;&lt;wsp:rsid wsp:val=&quot;008578D5&quot;/&gt;&lt;wsp:rsid wsp:val=&quot;00860A4E&quot;/&gt;&lt;wsp:rsid wsp:val=&quot;00861159&quot;/&gt;&lt;wsp:rsid wsp:val=&quot;00861CFE&quot;/&gt;&lt;wsp:rsid wsp:val=&quot;008628F8&quot;/&gt;&lt;wsp:rsid wsp:val=&quot;00862E93&quot;/&gt;&lt;wsp:rsid wsp:val=&quot;008637F9&quot;/&gt;&lt;wsp:rsid wsp:val=&quot;008648BC&quot;/&gt;&lt;wsp:rsid wsp:val=&quot;00865217&quot;/&gt;&lt;wsp:rsid wsp:val=&quot;00870D19&quot;/&gt;&lt;wsp:rsid wsp:val=&quot;0087236B&quot;/&gt;&lt;wsp:rsid wsp:val=&quot;00873753&quot;/&gt;&lt;wsp:rsid wsp:val=&quot;00874D08&quot;/&gt;&lt;wsp:rsid wsp:val=&quot;00874EE6&quot;/&gt;&lt;wsp:rsid wsp:val=&quot;00876071&quot;/&gt;&lt;wsp:rsid wsp:val=&quot;008766C6&quot;/&gt;&lt;wsp:rsid wsp:val=&quot;00883F6F&quot;/&gt;&lt;wsp:rsid wsp:val=&quot;00884900&quot;/&gt;&lt;wsp:rsid wsp:val=&quot;00884CEA&quot;/&gt;&lt;wsp:rsid wsp:val=&quot;00885095&quot;/&gt;&lt;wsp:rsid wsp:val=&quot;00886368&quot;/&gt;&lt;wsp:rsid wsp:val=&quot;00886424&quot;/&gt;&lt;wsp:rsid wsp:val=&quot;00887404&quot;/&gt;&lt;wsp:rsid wsp:val=&quot;00887ADF&quot;/&gt;&lt;wsp:rsid wsp:val=&quot;00890F18&quot;/&gt;&lt;wsp:rsid wsp:val=&quot;008914BB&quot;/&gt;&lt;wsp:rsid wsp:val=&quot;00892717&quot;/&gt;&lt;wsp:rsid wsp:val=&quot;0089346D&quot;/&gt;&lt;wsp:rsid wsp:val=&quot;00893DF2&quot;/&gt;&lt;wsp:rsid wsp:val=&quot;0089461F&quot;/&gt;&lt;wsp:rsid wsp:val=&quot;008949B7&quot;/&gt;&lt;wsp:rsid wsp:val=&quot;00895A39&quot;/&gt;&lt;wsp:rsid wsp:val=&quot;00896263&quot;/&gt;&lt;wsp:rsid wsp:val=&quot;008A6CF6&quot;/&gt;&lt;wsp:rsid wsp:val=&quot;008A7003&quot;/&gt;&lt;wsp:rsid wsp:val=&quot;008A729A&quot;/&gt;&lt;wsp:rsid wsp:val=&quot;008A795A&quot;/&gt;&lt;wsp:rsid wsp:val=&quot;008A7D13&quot;/&gt;&lt;wsp:rsid wsp:val=&quot;008B605C&quot;/&gt;&lt;wsp:rsid wsp:val=&quot;008C1880&quot;/&gt;&lt;wsp:rsid wsp:val=&quot;008C2C1C&quot;/&gt;&lt;wsp:rsid wsp:val=&quot;008D12B2&quot;/&gt;&lt;wsp:rsid wsp:val=&quot;008D3BE8&quot;/&gt;&lt;wsp:rsid wsp:val=&quot;008E15E2&quot;/&gt;&lt;wsp:rsid wsp:val=&quot;008E3172&quot;/&gt;&lt;wsp:rsid wsp:val=&quot;008E5A9D&quot;/&gt;&lt;wsp:rsid wsp:val=&quot;008E6801&quot;/&gt;&lt;wsp:rsid wsp:val=&quot;008E7F0F&quot;/&gt;&lt;wsp:rsid wsp:val=&quot;008E7F7F&quot;/&gt;&lt;wsp:rsid wsp:val=&quot;008F1A96&quot;/&gt;&lt;wsp:rsid wsp:val=&quot;008F307D&quot;/&gt;&lt;wsp:rsid wsp:val=&quot;008F41C2&quot;/&gt;&lt;wsp:rsid wsp:val=&quot;008F48F9&quot;/&gt;&lt;wsp:rsid wsp:val=&quot;008F4E20&quot;/&gt;&lt;wsp:rsid wsp:val=&quot;008F5B45&quot;/&gt;&lt;wsp:rsid wsp:val=&quot;00900016&quot;/&gt;&lt;wsp:rsid wsp:val=&quot;009010F9&quot;/&gt;&lt;wsp:rsid wsp:val=&quot;0090577A&quot;/&gt;&lt;wsp:rsid wsp:val=&quot;00906FC0&quot;/&gt;&lt;wsp:rsid wsp:val=&quot;00907DFD&quot;/&gt;&lt;wsp:rsid wsp:val=&quot;00911A9A&quot;/&gt;&lt;wsp:rsid wsp:val=&quot;009126D1&quot;/&gt;&lt;wsp:rsid wsp:val=&quot;00916594&quot;/&gt;&lt;wsp:rsid wsp:val=&quot;0091744C&quot;/&gt;&lt;wsp:rsid wsp:val=&quot;00920C78&quot;/&gt;&lt;wsp:rsid wsp:val=&quot;009267C2&quot;/&gt;&lt;wsp:rsid wsp:val=&quot;00926B2D&quot;/&gt;&lt;wsp:rsid wsp:val=&quot;00926FEE&quot;/&gt;&lt;wsp:rsid wsp:val=&quot;00931684&quot;/&gt;&lt;wsp:rsid wsp:val=&quot;00931A7F&quot;/&gt;&lt;wsp:rsid wsp:val=&quot;009333B4&quot;/&gt;&lt;wsp:rsid wsp:val=&quot;009368A6&quot;/&gt;&lt;wsp:rsid wsp:val=&quot;00937B04&quot;/&gt;&lt;wsp:rsid wsp:val=&quot;00940171&quot;/&gt;&lt;wsp:rsid wsp:val=&quot;00941B93&quot;/&gt;&lt;wsp:rsid wsp:val=&quot;009439EA&quot;/&gt;&lt;wsp:rsid wsp:val=&quot;0094467C&quot;/&gt;&lt;wsp:rsid wsp:val=&quot;00944A0C&quot;/&gt;&lt;wsp:rsid wsp:val=&quot;009458F7&quot;/&gt;&lt;wsp:rsid wsp:val=&quot;00946288&quot;/&gt;&lt;wsp:rsid wsp:val=&quot;0094631A&quot;/&gt;&lt;wsp:rsid wsp:val=&quot;00947784&quot;/&gt;&lt;wsp:rsid wsp:val=&quot;0095261A&quot;/&gt;&lt;wsp:rsid wsp:val=&quot;00952E10&quot;/&gt;&lt;wsp:rsid wsp:val=&quot;0095528D&quot;/&gt;&lt;wsp:rsid wsp:val=&quot;00955F76&quot;/&gt;&lt;wsp:rsid wsp:val=&quot;0095692D&quot;/&gt;&lt;wsp:rsid wsp:val=&quot;00956FBF&quot;/&gt;&lt;wsp:rsid wsp:val=&quot;0095705E&quot;/&gt;&lt;wsp:rsid wsp:val=&quot;0095785E&quot;/&gt;&lt;wsp:rsid wsp:val=&quot;00960D02&quot;/&gt;&lt;wsp:rsid wsp:val=&quot;009617B6&quot;/&gt;&lt;wsp:rsid wsp:val=&quot;00961FDA&quot;/&gt;&lt;wsp:rsid wsp:val=&quot;0096272A&quot;/&gt;&lt;wsp:rsid wsp:val=&quot;0096467D&quot;/&gt;&lt;wsp:rsid wsp:val=&quot;0096661D&quot;/&gt;&lt;wsp:rsid wsp:val=&quot;0097007B&quot;/&gt;&lt;wsp:rsid wsp:val=&quot;009704E8&quot;/&gt;&lt;wsp:rsid wsp:val=&quot;00970C34&quot;/&gt;&lt;wsp:rsid wsp:val=&quot;009729B6&quot;/&gt;&lt;wsp:rsid wsp:val=&quot;00972E2F&quot;/&gt;&lt;wsp:rsid wsp:val=&quot;00972E4C&quot;/&gt;&lt;wsp:rsid wsp:val=&quot;009730A1&quot;/&gt;&lt;wsp:rsid wsp:val=&quot;009733A0&quot;/&gt;&lt;wsp:rsid wsp:val=&quot;009752C1&quot;/&gt;&lt;wsp:rsid wsp:val=&quot;009762DB&quot;/&gt;&lt;wsp:rsid wsp:val=&quot;009765F2&quot;/&gt;&lt;wsp:rsid wsp:val=&quot;009768D8&quot;/&gt;&lt;wsp:rsid wsp:val=&quot;00976BDA&quot;/&gt;&lt;wsp:rsid wsp:val=&quot;00977024&quot;/&gt;&lt;wsp:rsid wsp:val=&quot;009770E3&quot;/&gt;&lt;wsp:rsid wsp:val=&quot;00977376&quot;/&gt;&lt;wsp:rsid wsp:val=&quot;00980238&quot;/&gt;&lt;wsp:rsid wsp:val=&quot;00982347&quot;/&gt;&lt;wsp:rsid wsp:val=&quot;00983120&quot;/&gt;&lt;wsp:rsid wsp:val=&quot;0098342B&quot;/&gt;&lt;wsp:rsid wsp:val=&quot;0098617F&quot;/&gt;&lt;wsp:rsid wsp:val=&quot;00986572&quot;/&gt;&lt;wsp:rsid wsp:val=&quot;00986B70&quot;/&gt;&lt;wsp:rsid wsp:val=&quot;00987528&quot;/&gt;&lt;wsp:rsid wsp:val=&quot;0098753B&quot;/&gt;&lt;wsp:rsid wsp:val=&quot;00987D1A&quot;/&gt;&lt;wsp:rsid wsp:val=&quot;0099164A&quot;/&gt;&lt;wsp:rsid wsp:val=&quot;00991B45&quot;/&gt;&lt;wsp:rsid wsp:val=&quot;00991FE5&quot;/&gt;&lt;wsp:rsid wsp:val=&quot;00992114&quot;/&gt;&lt;wsp:rsid wsp:val=&quot;0099326F&quot;/&gt;&lt;wsp:rsid wsp:val=&quot;00993CC2&quot;/&gt;&lt;wsp:rsid wsp:val=&quot;009940DE&quot;/&gt;&lt;wsp:rsid wsp:val=&quot;00995A44&quot;/&gt;&lt;wsp:rsid wsp:val=&quot;00997355&quot;/&gt;&lt;wsp:rsid wsp:val=&quot;00997951&quot;/&gt;&lt;wsp:rsid wsp:val=&quot;009A03B5&quot;/&gt;&lt;wsp:rsid wsp:val=&quot;009A0CD2&quot;/&gt;&lt;wsp:rsid wsp:val=&quot;009A166B&quot;/&gt;&lt;wsp:rsid wsp:val=&quot;009A1C44&quot;/&gt;&lt;wsp:rsid wsp:val=&quot;009A2159&quot;/&gt;&lt;wsp:rsid wsp:val=&quot;009A2C5A&quot;/&gt;&lt;wsp:rsid wsp:val=&quot;009A42DC&quot;/&gt;&lt;wsp:rsid wsp:val=&quot;009A63B1&quot;/&gt;&lt;wsp:rsid wsp:val=&quot;009A6839&quot;/&gt;&lt;wsp:rsid wsp:val=&quot;009B04F1&quot;/&gt;&lt;wsp:rsid wsp:val=&quot;009B15F8&quot;/&gt;&lt;wsp:rsid wsp:val=&quot;009B34E3&quot;/&gt;&lt;wsp:rsid wsp:val=&quot;009B7E49&quot;/&gt;&lt;wsp:rsid wsp:val=&quot;009C03D9&quot;/&gt;&lt;wsp:rsid wsp:val=&quot;009C0768&quot;/&gt;&lt;wsp:rsid wsp:val=&quot;009C1948&quot;/&gt;&lt;wsp:rsid wsp:val=&quot;009C3B2B&quot;/&gt;&lt;wsp:rsid wsp:val=&quot;009C5997&quot;/&gt;&lt;wsp:rsid wsp:val=&quot;009C6F31&quot;/&gt;&lt;wsp:rsid wsp:val=&quot;009C735A&quot;/&gt;&lt;wsp:rsid wsp:val=&quot;009D02D9&quot;/&gt;&lt;wsp:rsid wsp:val=&quot;009D53A1&quot;/&gt;&lt;wsp:rsid wsp:val=&quot;009E19B5&quot;/&gt;&lt;wsp:rsid wsp:val=&quot;009E2B3D&quot;/&gt;&lt;wsp:rsid wsp:val=&quot;009E3F2C&quot;/&gt;&lt;wsp:rsid wsp:val=&quot;009E4C56&quot;/&gt;&lt;wsp:rsid wsp:val=&quot;009F1177&quot;/&gt;&lt;wsp:rsid wsp:val=&quot;009F11C4&quot;/&gt;&lt;wsp:rsid wsp:val=&quot;009F23B4&quot;/&gt;&lt;wsp:rsid wsp:val=&quot;00A05E03&quot;/&gt;&lt;wsp:rsid wsp:val=&quot;00A0746F&quot;/&gt;&lt;wsp:rsid wsp:val=&quot;00A07680&quot;/&gt;&lt;wsp:rsid wsp:val=&quot;00A07D8A&quot;/&gt;&lt;wsp:rsid wsp:val=&quot;00A10311&quot;/&gt;&lt;wsp:rsid wsp:val=&quot;00A11310&quot;/&gt;&lt;wsp:rsid wsp:val=&quot;00A12CC0&quot;/&gt;&lt;wsp:rsid wsp:val=&quot;00A12DCD&quot;/&gt;&lt;wsp:rsid wsp:val=&quot;00A17EB5&quot;/&gt;&lt;wsp:rsid wsp:val=&quot;00A2226F&quot;/&gt;&lt;wsp:rsid wsp:val=&quot;00A22A95&quot;/&gt;&lt;wsp:rsid wsp:val=&quot;00A232AF&quot;/&gt;&lt;wsp:rsid wsp:val=&quot;00A2349C&quot;/&gt;&lt;wsp:rsid wsp:val=&quot;00A23A33&quot;/&gt;&lt;wsp:rsid wsp:val=&quot;00A24E4D&quot;/&gt;&lt;wsp:rsid wsp:val=&quot;00A25030&quot;/&gt;&lt;wsp:rsid wsp:val=&quot;00A26B7F&quot;/&gt;&lt;wsp:rsid wsp:val=&quot;00A27375&quot;/&gt;&lt;wsp:rsid wsp:val=&quot;00A30FAE&quot;/&gt;&lt;wsp:rsid wsp:val=&quot;00A31A72&quot;/&gt;&lt;wsp:rsid wsp:val=&quot;00A344C9&quot;/&gt;&lt;wsp:rsid wsp:val=&quot;00A34B9B&quot;/&gt;&lt;wsp:rsid wsp:val=&quot;00A35816&quot;/&gt;&lt;wsp:rsid wsp:val=&quot;00A37B13&quot;/&gt;&lt;wsp:rsid wsp:val=&quot;00A42573&quot;/&gt;&lt;wsp:rsid wsp:val=&quot;00A42874&quot;/&gt;&lt;wsp:rsid wsp:val=&quot;00A44981&quot;/&gt;&lt;wsp:rsid wsp:val=&quot;00A46793&quot;/&gt;&lt;wsp:rsid wsp:val=&quot;00A471B6&quot;/&gt;&lt;wsp:rsid wsp:val=&quot;00A479D9&quot;/&gt;&lt;wsp:rsid wsp:val=&quot;00A47AFD&quot;/&gt;&lt;wsp:rsid wsp:val=&quot;00A5076C&quot;/&gt;&lt;wsp:rsid wsp:val=&quot;00A51CE0&quot;/&gt;&lt;wsp:rsid wsp:val=&quot;00A52051&quot;/&gt;&lt;wsp:rsid wsp:val=&quot;00A52933&quot;/&gt;&lt;wsp:rsid wsp:val=&quot;00A533CC&quot;/&gt;&lt;wsp:rsid wsp:val=&quot;00A55483&quot;/&gt;&lt;wsp:rsid wsp:val=&quot;00A5620B&quot;/&gt;&lt;wsp:rsid wsp:val=&quot;00A56E9D&quot;/&gt;&lt;wsp:rsid wsp:val=&quot;00A57EB7&quot;/&gt;&lt;wsp:rsid wsp:val=&quot;00A60610&quot;/&gt;&lt;wsp:rsid wsp:val=&quot;00A60795&quot;/&gt;&lt;wsp:rsid wsp:val=&quot;00A61052&quot;/&gt;&lt;wsp:rsid wsp:val=&quot;00A624D0&quot;/&gt;&lt;wsp:rsid wsp:val=&quot;00A62C75&quot;/&gt;&lt;wsp:rsid wsp:val=&quot;00A62F03&quot;/&gt;&lt;wsp:rsid wsp:val=&quot;00A63B59&quot;/&gt;&lt;wsp:rsid wsp:val=&quot;00A6445D&quot;/&gt;&lt;wsp:rsid wsp:val=&quot;00A64816&quot;/&gt;&lt;wsp:rsid wsp:val=&quot;00A64D58&quot;/&gt;&lt;wsp:rsid wsp:val=&quot;00A657D1&quot;/&gt;&lt;wsp:rsid wsp:val=&quot;00A72644&quot;/&gt;&lt;wsp:rsid wsp:val=&quot;00A742DA&quot;/&gt;&lt;wsp:rsid wsp:val=&quot;00A7763E&quot;/&gt;&lt;wsp:rsid wsp:val=&quot;00A77FD6&quot;/&gt;&lt;wsp:rsid wsp:val=&quot;00A8089E&quot;/&gt;&lt;wsp:rsid wsp:val=&quot;00A814EC&quot;/&gt;&lt;wsp:rsid wsp:val=&quot;00A820F3&quot;/&gt;&lt;wsp:rsid wsp:val=&quot;00A82729&quot;/&gt;&lt;wsp:rsid wsp:val=&quot;00A82892&quot;/&gt;&lt;wsp:rsid wsp:val=&quot;00A82F84&quot;/&gt;&lt;wsp:rsid wsp:val=&quot;00A83992&quot;/&gt;&lt;wsp:rsid wsp:val=&quot;00A83B36&quot;/&gt;&lt;wsp:rsid wsp:val=&quot;00A85173&quot;/&gt;&lt;wsp:rsid wsp:val=&quot;00A92CF8&quot;/&gt;&lt;wsp:rsid wsp:val=&quot;00A95476&quot;/&gt;&lt;wsp:rsid wsp:val=&quot;00A955DB&quot;/&gt;&lt;wsp:rsid wsp:val=&quot;00A95887&quot;/&gt;&lt;wsp:rsid wsp:val=&quot;00AA06E4&quot;/&gt;&lt;wsp:rsid wsp:val=&quot;00AA0EEE&quot;/&gt;&lt;wsp:rsid wsp:val=&quot;00AA1A3D&quot;/&gt;&lt;wsp:rsid wsp:val=&quot;00AA2781&quot;/&gt;&lt;wsp:rsid wsp:val=&quot;00AA3AC9&quot;/&gt;&lt;wsp:rsid wsp:val=&quot;00AB0D6E&quot;/&gt;&lt;wsp:rsid wsp:val=&quot;00AB2C6C&quot;/&gt;&lt;wsp:rsid wsp:val=&quot;00AB313F&quot;/&gt;&lt;wsp:rsid wsp:val=&quot;00AB4051&quot;/&gt;&lt;wsp:rsid wsp:val=&quot;00AB4625&quot;/&gt;&lt;wsp:rsid wsp:val=&quot;00AB4F51&quot;/&gt;&lt;wsp:rsid wsp:val=&quot;00AB5734&quot;/&gt;&lt;wsp:rsid wsp:val=&quot;00AB624B&quot;/&gt;&lt;wsp:rsid wsp:val=&quot;00AB7ADB&quot;/&gt;&lt;wsp:rsid wsp:val=&quot;00AC1AD3&quot;/&gt;&lt;wsp:rsid wsp:val=&quot;00AC1F16&quot;/&gt;&lt;wsp:rsid wsp:val=&quot;00AC2F54&quot;/&gt;&lt;wsp:rsid wsp:val=&quot;00AC4834&quot;/&gt;&lt;wsp:rsid wsp:val=&quot;00AC6011&quot;/&gt;&lt;wsp:rsid wsp:val=&quot;00AD2353&quot;/&gt;&lt;wsp:rsid wsp:val=&quot;00AD3211&quot;/&gt;&lt;wsp:rsid wsp:val=&quot;00AD7A6A&quot;/&gt;&lt;wsp:rsid wsp:val=&quot;00AD7C39&quot;/&gt;&lt;wsp:rsid wsp:val=&quot;00AE0B57&quot;/&gt;&lt;wsp:rsid wsp:val=&quot;00AE2EA9&quot;/&gt;&lt;wsp:rsid wsp:val=&quot;00AE4158&quot;/&gt;&lt;wsp:rsid wsp:val=&quot;00AE4353&quot;/&gt;&lt;wsp:rsid wsp:val=&quot;00AE5181&quot;/&gt;&lt;wsp:rsid wsp:val=&quot;00AE5A8A&quot;/&gt;&lt;wsp:rsid wsp:val=&quot;00AE7214&quot;/&gt;&lt;wsp:rsid wsp:val=&quot;00AE73BD&quot;/&gt;&lt;wsp:rsid wsp:val=&quot;00AE7AE4&quot;/&gt;&lt;wsp:rsid wsp:val=&quot;00AF1B86&quot;/&gt;&lt;wsp:rsid wsp:val=&quot;00AF5608&quot;/&gt;&lt;wsp:rsid wsp:val=&quot;00AF59DF&quot;/&gt;&lt;wsp:rsid wsp:val=&quot;00AF5CDD&quot;/&gt;&lt;wsp:rsid wsp:val=&quot;00AF7311&quot;/&gt;&lt;wsp:rsid wsp:val=&quot;00B00AD6&quot;/&gt;&lt;wsp:rsid wsp:val=&quot;00B01BA0&quot;/&gt;&lt;wsp:rsid wsp:val=&quot;00B0427A&quot;/&gt;&lt;wsp:rsid wsp:val=&quot;00B048D0&quot;/&gt;&lt;wsp:rsid wsp:val=&quot;00B0630C&quot;/&gt;&lt;wsp:rsid wsp:val=&quot;00B06AF8&quot;/&gt;&lt;wsp:rsid wsp:val=&quot;00B07732&quot;/&gt;&lt;wsp:rsid wsp:val=&quot;00B1158A&quot;/&gt;&lt;wsp:rsid wsp:val=&quot;00B12BD4&quot;/&gt;&lt;wsp:rsid wsp:val=&quot;00B13387&quot;/&gt;&lt;wsp:rsid wsp:val=&quot;00B14741&quot;/&gt;&lt;wsp:rsid wsp:val=&quot;00B151E6&quot;/&gt;&lt;wsp:rsid wsp:val=&quot;00B1768C&quot;/&gt;&lt;wsp:rsid wsp:val=&quot;00B21D95&quot;/&gt;&lt;wsp:rsid wsp:val=&quot;00B22AF1&quot;/&gt;&lt;wsp:rsid wsp:val=&quot;00B24006&quot;/&gt;&lt;wsp:rsid wsp:val=&quot;00B248FD&quot;/&gt;&lt;wsp:rsid wsp:val=&quot;00B2577F&quot;/&gt;&lt;wsp:rsid wsp:val=&quot;00B26DAB&quot;/&gt;&lt;wsp:rsid wsp:val=&quot;00B3283D&quot;/&gt;&lt;wsp:rsid wsp:val=&quot;00B32F8B&quot;/&gt;&lt;wsp:rsid wsp:val=&quot;00B336C9&quot;/&gt;&lt;wsp:rsid wsp:val=&quot;00B36E83&quot;/&gt;&lt;wsp:rsid wsp:val=&quot;00B37927&quot;/&gt;&lt;wsp:rsid wsp:val=&quot;00B37EE0&quot;/&gt;&lt;wsp:rsid wsp:val=&quot;00B409AC&quot;/&gt;&lt;wsp:rsid wsp:val=&quot;00B42228&quot;/&gt;&lt;wsp:rsid wsp:val=&quot;00B42587&quot;/&gt;&lt;wsp:rsid wsp:val=&quot;00B43265&quot;/&gt;&lt;wsp:rsid wsp:val=&quot;00B4432A&quot;/&gt;&lt;wsp:rsid wsp:val=&quot;00B45F8D&quot;/&gt;&lt;wsp:rsid wsp:val=&quot;00B469DD&quot;/&gt;&lt;wsp:rsid wsp:val=&quot;00B477FA&quot;/&gt;&lt;wsp:rsid wsp:val=&quot;00B50470&quot;/&gt;&lt;wsp:rsid wsp:val=&quot;00B5168D&quot;/&gt;&lt;wsp:rsid wsp:val=&quot;00B5178C&quot;/&gt;&lt;wsp:rsid wsp:val=&quot;00B52F7C&quot;/&gt;&lt;wsp:rsid wsp:val=&quot;00B551E1&quot;/&gt;&lt;wsp:rsid wsp:val=&quot;00B57C68&quot;/&gt;&lt;wsp:rsid wsp:val=&quot;00B60594&quot;/&gt;&lt;wsp:rsid wsp:val=&quot;00B6198F&quot;/&gt;&lt;wsp:rsid wsp:val=&quot;00B62E93&quot;/&gt;&lt;wsp:rsid wsp:val=&quot;00B62F95&quot;/&gt;&lt;wsp:rsid wsp:val=&quot;00B63B15&quot;/&gt;&lt;wsp:rsid wsp:val=&quot;00B63CD1&quot;/&gt;&lt;wsp:rsid wsp:val=&quot;00B65610&quot;/&gt;&lt;wsp:rsid wsp:val=&quot;00B65773&quot;/&gt;&lt;wsp:rsid wsp:val=&quot;00B661EA&quot;/&gt;&lt;wsp:rsid wsp:val=&quot;00B6678A&quot;/&gt;&lt;wsp:rsid wsp:val=&quot;00B74FEE&quot;/&gt;&lt;wsp:rsid wsp:val=&quot;00B753BB&quot;/&gt;&lt;wsp:rsid wsp:val=&quot;00B75A8D&quot;/&gt;&lt;wsp:rsid wsp:val=&quot;00B82B44&quot;/&gt;&lt;wsp:rsid wsp:val=&quot;00B86637&quot;/&gt;&lt;wsp:rsid wsp:val=&quot;00B925C7&quot;/&gt;&lt;wsp:rsid wsp:val=&quot;00B93C23&quot;/&gt;&lt;wsp:rsid wsp:val=&quot;00B94BCE&quot;/&gt;&lt;wsp:rsid wsp:val=&quot;00B955AD&quot;/&gt;&lt;wsp:rsid wsp:val=&quot;00B95901&quot;/&gt;&lt;wsp:rsid wsp:val=&quot;00B96292&quot;/&gt;&lt;wsp:rsid wsp:val=&quot;00B973AC&quot;/&gt;&lt;wsp:rsid wsp:val=&quot;00B979D7&quot;/&gt;&lt;wsp:rsid wsp:val=&quot;00BA0785&quot;/&gt;&lt;wsp:rsid wsp:val=&quot;00BA3415&quot;/&gt;&lt;wsp:rsid wsp:val=&quot;00BA3CBC&quot;/&gt;&lt;wsp:rsid wsp:val=&quot;00BB0339&quot;/&gt;&lt;wsp:rsid wsp:val=&quot;00BB34FF&quot;/&gt;&lt;wsp:rsid wsp:val=&quot;00BB4286&quot;/&gt;&lt;wsp:rsid wsp:val=&quot;00BB629E&quot;/&gt;&lt;wsp:rsid wsp:val=&quot;00BB7930&quot;/&gt;&lt;wsp:rsid wsp:val=&quot;00BC2A7E&quot;/&gt;&lt;wsp:rsid wsp:val=&quot;00BC2AE4&quot;/&gt;&lt;wsp:rsid wsp:val=&quot;00BC40C3&quot;/&gt;&lt;wsp:rsid wsp:val=&quot;00BD00AB&quot;/&gt;&lt;wsp:rsid wsp:val=&quot;00BD1503&quot;/&gt;&lt;wsp:rsid wsp:val=&quot;00BD32C0&quot;/&gt;&lt;wsp:rsid wsp:val=&quot;00BD59F9&quot;/&gt;&lt;wsp:rsid wsp:val=&quot;00BD70D9&quot;/&gt;&lt;wsp:rsid wsp:val=&quot;00BD7E84&quot;/&gt;&lt;wsp:rsid wsp:val=&quot;00BE0C8F&quot;/&gt;&lt;wsp:rsid wsp:val=&quot;00BE0DED&quot;/&gt;&lt;wsp:rsid wsp:val=&quot;00BE1F61&quot;/&gt;&lt;wsp:rsid wsp:val=&quot;00BE2D24&quot;/&gt;&lt;wsp:rsid wsp:val=&quot;00BE4889&quot;/&gt;&lt;wsp:rsid wsp:val=&quot;00BE69F0&quot;/&gt;&lt;wsp:rsid wsp:val=&quot;00BE70E7&quot;/&gt;&lt;wsp:rsid wsp:val=&quot;00BF07C1&quot;/&gt;&lt;wsp:rsid wsp:val=&quot;00BF3CD0&quot;/&gt;&lt;wsp:rsid wsp:val=&quot;00BF532F&quot;/&gt;&lt;wsp:rsid wsp:val=&quot;00BF68FB&quot;/&gt;&lt;wsp:rsid wsp:val=&quot;00BF7C2E&quot;/&gt;&lt;wsp:rsid wsp:val=&quot;00C045EC&quot;/&gt;&lt;wsp:rsid wsp:val=&quot;00C058D6&quot;/&gt;&lt;wsp:rsid wsp:val=&quot;00C05B16&quot;/&gt;&lt;wsp:rsid wsp:val=&quot;00C10B36&quot;/&gt;&lt;wsp:rsid wsp:val=&quot;00C135FD&quot;/&gt;&lt;wsp:rsid wsp:val=&quot;00C13DFC&quot;/&gt;&lt;wsp:rsid wsp:val=&quot;00C1604C&quot;/&gt;&lt;wsp:rsid wsp:val=&quot;00C217B8&quot;/&gt;&lt;wsp:rsid wsp:val=&quot;00C22343&quot;/&gt;&lt;wsp:rsid wsp:val=&quot;00C22F42&quot;/&gt;&lt;wsp:rsid wsp:val=&quot;00C232AD&quot;/&gt;&lt;wsp:rsid wsp:val=&quot;00C2332A&quot;/&gt;&lt;wsp:rsid wsp:val=&quot;00C264EC&quot;/&gt;&lt;wsp:rsid wsp:val=&quot;00C27903&quot;/&gt;&lt;wsp:rsid wsp:val=&quot;00C2794D&quot;/&gt;&lt;wsp:rsid wsp:val=&quot;00C3140F&quot;/&gt;&lt;wsp:rsid wsp:val=&quot;00C31535&quot;/&gt;&lt;wsp:rsid wsp:val=&quot;00C31C7C&quot;/&gt;&lt;wsp:rsid wsp:val=&quot;00C32CE9&quot;/&gt;&lt;wsp:rsid wsp:val=&quot;00C3530E&quot;/&gt;&lt;wsp:rsid wsp:val=&quot;00C35360&quot;/&gt;&lt;wsp:rsid wsp:val=&quot;00C452F6&quot;/&gt;&lt;wsp:rsid wsp:val=&quot;00C45920&quot;/&gt;&lt;wsp:rsid wsp:val=&quot;00C47DA9&quot;/&gt;&lt;wsp:rsid wsp:val=&quot;00C50AF3&quot;/&gt;&lt;wsp:rsid wsp:val=&quot;00C50CDD&quot;/&gt;&lt;wsp:rsid wsp:val=&quot;00C52E7C&quot;/&gt;&lt;wsp:rsid wsp:val=&quot;00C5327B&quot;/&gt;&lt;wsp:rsid wsp:val=&quot;00C53D99&quot;/&gt;&lt;wsp:rsid wsp:val=&quot;00C554D3&quot;/&gt;&lt;wsp:rsid wsp:val=&quot;00C57082&quot;/&gt;&lt;wsp:rsid wsp:val=&quot;00C60E9B&quot;/&gt;&lt;wsp:rsid wsp:val=&quot;00C61134&quot;/&gt;&lt;wsp:rsid wsp:val=&quot;00C6146D&quot;/&gt;&lt;wsp:rsid wsp:val=&quot;00C63B12&quot;/&gt;&lt;wsp:rsid wsp:val=&quot;00C703C5&quot;/&gt;&lt;wsp:rsid wsp:val=&quot;00C7055F&quot;/&gt;&lt;wsp:rsid wsp:val=&quot;00C70842&quot;/&gt;&lt;wsp:rsid wsp:val=&quot;00C7531E&quot;/&gt;&lt;wsp:rsid wsp:val=&quot;00C832E0&quot;/&gt;&lt;wsp:rsid wsp:val=&quot;00C835C2&quot;/&gt;&lt;wsp:rsid wsp:val=&quot;00C856FA&quot;/&gt;&lt;wsp:rsid wsp:val=&quot;00C87457&quot;/&gt;&lt;wsp:rsid wsp:val=&quot;00C908AF&quot;/&gt;&lt;wsp:rsid wsp:val=&quot;00C912D0&quot;/&gt;&lt;wsp:rsid wsp:val=&quot;00C91694&quot;/&gt;&lt;wsp:rsid wsp:val=&quot;00C91CDE&quot;/&gt;&lt;wsp:rsid wsp:val=&quot;00C935BB&quot;/&gt;&lt;wsp:rsid wsp:val=&quot;00C93D2A&quot;/&gt;&lt;wsp:rsid wsp:val=&quot;00C96AD3&quot;/&gt;&lt;wsp:rsid wsp:val=&quot;00CA003F&quot;/&gt;&lt;wsp:rsid wsp:val=&quot;00CA12D0&quot;/&gt;&lt;wsp:rsid wsp:val=&quot;00CA15A6&quot;/&gt;&lt;wsp:rsid wsp:val=&quot;00CA2D78&quot;/&gt;&lt;wsp:rsid wsp:val=&quot;00CA325D&quot;/&gt;&lt;wsp:rsid wsp:val=&quot;00CA362D&quot;/&gt;&lt;wsp:rsid wsp:val=&quot;00CA3DB4&quot;/&gt;&lt;wsp:rsid wsp:val=&quot;00CA49FD&quot;/&gt;&lt;wsp:rsid wsp:val=&quot;00CA79D4&quot;/&gt;&lt;wsp:rsid wsp:val=&quot;00CB0CD4&quot;/&gt;&lt;wsp:rsid wsp:val=&quot;00CB2D16&quot;/&gt;&lt;wsp:rsid wsp:val=&quot;00CB317D&quot;/&gt;&lt;wsp:rsid wsp:val=&quot;00CB739A&quot;/&gt;&lt;wsp:rsid wsp:val=&quot;00CB7FFC&quot;/&gt;&lt;wsp:rsid wsp:val=&quot;00CC0DB7&quot;/&gt;&lt;wsp:rsid wsp:val=&quot;00CC2191&quot;/&gt;&lt;wsp:rsid wsp:val=&quot;00CC3C9D&quot;/&gt;&lt;wsp:rsid wsp:val=&quot;00CC4265&quot;/&gt;&lt;wsp:rsid wsp:val=&quot;00CC7D97&quot;/&gt;&lt;wsp:rsid wsp:val=&quot;00CD0F3A&quot;/&gt;&lt;wsp:rsid wsp:val=&quot;00CD10B9&quot;/&gt;&lt;wsp:rsid wsp:val=&quot;00CD28AD&quot;/&gt;&lt;wsp:rsid wsp:val=&quot;00CD4ABD&quot;/&gt;&lt;wsp:rsid wsp:val=&quot;00CD4C76&quot;/&gt;&lt;wsp:rsid wsp:val=&quot;00CD50A7&quot;/&gt;&lt;wsp:rsid wsp:val=&quot;00CD615D&quot;/&gt;&lt;wsp:rsid wsp:val=&quot;00CD6640&quot;/&gt;&lt;wsp:rsid wsp:val=&quot;00CE019F&quot;/&gt;&lt;wsp:rsid wsp:val=&quot;00CE0C16&quot;/&gt;&lt;wsp:rsid wsp:val=&quot;00CE5BC5&quot;/&gt;&lt;wsp:rsid wsp:val=&quot;00CE7813&quot;/&gt;&lt;wsp:rsid wsp:val=&quot;00CF0336&quot;/&gt;&lt;wsp:rsid wsp:val=&quot;00CF1377&quot;/&gt;&lt;wsp:rsid wsp:val=&quot;00CF19F7&quot;/&gt;&lt;wsp:rsid wsp:val=&quot;00CF4793&quot;/&gt;&lt;wsp:rsid wsp:val=&quot;00CF6A49&quot;/&gt;&lt;wsp:rsid wsp:val=&quot;00CF6C91&quot;/&gt;&lt;wsp:rsid wsp:val=&quot;00D00521&quot;/&gt;&lt;wsp:rsid wsp:val=&quot;00D00929&quot;/&gt;&lt;wsp:rsid wsp:val=&quot;00D01231&quot;/&gt;&lt;wsp:rsid wsp:val=&quot;00D019A7&quot;/&gt;&lt;wsp:rsid wsp:val=&quot;00D02433&quot;/&gt;&lt;wsp:rsid wsp:val=&quot;00D0293B&quot;/&gt;&lt;wsp:rsid wsp:val=&quot;00D02FC7&quot;/&gt;&lt;wsp:rsid wsp:val=&quot;00D03952&quot;/&gt;&lt;wsp:rsid wsp:val=&quot;00D03BD8&quot;/&gt;&lt;wsp:rsid wsp:val=&quot;00D0627A&quot;/&gt;&lt;wsp:rsid wsp:val=&quot;00D07A5D&quot;/&gt;&lt;wsp:rsid wsp:val=&quot;00D11138&quot;/&gt;&lt;wsp:rsid wsp:val=&quot;00D12527&quot;/&gt;&lt;wsp:rsid wsp:val=&quot;00D134C0&quot;/&gt;&lt;wsp:rsid wsp:val=&quot;00D14649&quot;/&gt;&lt;wsp:rsid wsp:val=&quot;00D14F9B&quot;/&gt;&lt;wsp:rsid wsp:val=&quot;00D15178&quot;/&gt;&lt;wsp:rsid wsp:val=&quot;00D20B6C&quot;/&gt;&lt;wsp:rsid wsp:val=&quot;00D219F3&quot;/&gt;&lt;wsp:rsid wsp:val=&quot;00D23461&quot;/&gt;&lt;wsp:rsid wsp:val=&quot;00D26E42&quot;/&gt;&lt;wsp:rsid wsp:val=&quot;00D2790E&quot;/&gt;&lt;wsp:rsid wsp:val=&quot;00D30ABE&quot;/&gt;&lt;wsp:rsid wsp:val=&quot;00D30ED7&quot;/&gt;&lt;wsp:rsid wsp:val=&quot;00D31A65&quot;/&gt;&lt;wsp:rsid wsp:val=&quot;00D33872&quot;/&gt;&lt;wsp:rsid wsp:val=&quot;00D34D05&quot;/&gt;&lt;wsp:rsid wsp:val=&quot;00D356C5&quot;/&gt;&lt;wsp:rsid wsp:val=&quot;00D364F0&quot;/&gt;&lt;wsp:rsid wsp:val=&quot;00D36596&quot;/&gt;&lt;wsp:rsid wsp:val=&quot;00D3716C&quot;/&gt;&lt;wsp:rsid wsp:val=&quot;00D41F22&quot;/&gt;&lt;wsp:rsid wsp:val=&quot;00D42404&quot;/&gt;&lt;wsp:rsid wsp:val=&quot;00D425E7&quot;/&gt;&lt;wsp:rsid wsp:val=&quot;00D42E47&quot;/&gt;&lt;wsp:rsid wsp:val=&quot;00D465B4&quot;/&gt;&lt;wsp:rsid wsp:val=&quot;00D51592&quot;/&gt;&lt;wsp:rsid wsp:val=&quot;00D51860&quot;/&gt;&lt;wsp:rsid wsp:val=&quot;00D551CA&quot;/&gt;&lt;wsp:rsid wsp:val=&quot;00D5695B&quot;/&gt;&lt;wsp:rsid wsp:val=&quot;00D56996&quot;/&gt;&lt;wsp:rsid wsp:val=&quot;00D60F86&quot;/&gt;&lt;wsp:rsid wsp:val=&quot;00D613FA&quot;/&gt;&lt;wsp:rsid wsp:val=&quot;00D62527&quot;/&gt;&lt;wsp:rsid wsp:val=&quot;00D62A47&quot;/&gt;&lt;wsp:rsid wsp:val=&quot;00D650F5&quot;/&gt;&lt;wsp:rsid wsp:val=&quot;00D65CEB&quot;/&gt;&lt;wsp:rsid wsp:val=&quot;00D65D4F&quot;/&gt;&lt;wsp:rsid wsp:val=&quot;00D665BA&quot;/&gt;&lt;wsp:rsid wsp:val=&quot;00D667C4&quot;/&gt;&lt;wsp:rsid wsp:val=&quot;00D6726F&quot;/&gt;&lt;wsp:rsid wsp:val=&quot;00D737C5&quot;/&gt;&lt;wsp:rsid wsp:val=&quot;00D737DB&quot;/&gt;&lt;wsp:rsid wsp:val=&quot;00D74678&quot;/&gt;&lt;wsp:rsid wsp:val=&quot;00D7469B&quot;/&gt;&lt;wsp:rsid wsp:val=&quot;00D76304&quot;/&gt;&lt;wsp:rsid wsp:val=&quot;00D84909&quot;/&gt;&lt;wsp:rsid wsp:val=&quot;00D84FAA&quot;/&gt;&lt;wsp:rsid wsp:val=&quot;00D872E9&quot;/&gt;&lt;wsp:rsid wsp:val=&quot;00D87A8D&quot;/&gt;&lt;wsp:rsid wsp:val=&quot;00D87CD0&quot;/&gt;&lt;wsp:rsid wsp:val=&quot;00D90E48&quot;/&gt;&lt;wsp:rsid wsp:val=&quot;00D913A6&quot;/&gt;&lt;wsp:rsid wsp:val=&quot;00D942F3&quot;/&gt;&lt;wsp:rsid wsp:val=&quot;00D966E5&quot;/&gt;&lt;wsp:rsid wsp:val=&quot;00D97401&quot;/&gt;&lt;wsp:rsid wsp:val=&quot;00DA064C&quot;/&gt;&lt;wsp:rsid wsp:val=&quot;00DA07F5&quot;/&gt;&lt;wsp:rsid wsp:val=&quot;00DA1696&quot;/&gt;&lt;wsp:rsid wsp:val=&quot;00DA1700&quot;/&gt;&lt;wsp:rsid wsp:val=&quot;00DA3F3F&quot;/&gt;&lt;wsp:rsid wsp:val=&quot;00DA4C2E&quot;/&gt;&lt;wsp:rsid wsp:val=&quot;00DA4D1C&quot;/&gt;&lt;wsp:rsid wsp:val=&quot;00DA6297&quot;/&gt;&lt;wsp:rsid wsp:val=&quot;00DA68FD&quot;/&gt;&lt;wsp:rsid wsp:val=&quot;00DA6E64&quot;/&gt;&lt;wsp:rsid wsp:val=&quot;00DB20D4&quot;/&gt;&lt;wsp:rsid wsp:val=&quot;00DB2F5D&quot;/&gt;&lt;wsp:rsid wsp:val=&quot;00DB4915&quot;/&gt;&lt;wsp:rsid wsp:val=&quot;00DB58B3&quot;/&gt;&lt;wsp:rsid wsp:val=&quot;00DB660F&quot;/&gt;&lt;wsp:rsid wsp:val=&quot;00DC0261&quot;/&gt;&lt;wsp:rsid wsp:val=&quot;00DC0296&quot;/&gt;&lt;wsp:rsid wsp:val=&quot;00DC3446&quot;/&gt;&lt;wsp:rsid wsp:val=&quot;00DC3555&quot;/&gt;&lt;wsp:rsid wsp:val=&quot;00DC6BF2&quot;/&gt;&lt;wsp:rsid wsp:val=&quot;00DC6F6F&quot;/&gt;&lt;wsp:rsid wsp:val=&quot;00DD10C1&quot;/&gt;&lt;wsp:rsid wsp:val=&quot;00DD12AB&quot;/&gt;&lt;wsp:rsid wsp:val=&quot;00DD12BD&quot;/&gt;&lt;wsp:rsid wsp:val=&quot;00DD133A&quot;/&gt;&lt;wsp:rsid wsp:val=&quot;00DD4073&quot;/&gt;&lt;wsp:rsid wsp:val=&quot;00DD442D&quot;/&gt;&lt;wsp:rsid wsp:val=&quot;00DD4967&quot;/&gt;&lt;wsp:rsid wsp:val=&quot;00DD53DD&quot;/&gt;&lt;wsp:rsid wsp:val=&quot;00DD75A9&quot;/&gt;&lt;wsp:rsid wsp:val=&quot;00DD7BB3&quot;/&gt;&lt;wsp:rsid wsp:val=&quot;00DD7F15&quot;/&gt;&lt;wsp:rsid wsp:val=&quot;00DE1E1B&quot;/&gt;&lt;wsp:rsid wsp:val=&quot;00DE317F&quot;/&gt;&lt;wsp:rsid wsp:val=&quot;00DE3E30&quot;/&gt;&lt;wsp:rsid wsp:val=&quot;00DE4BEC&quot;/&gt;&lt;wsp:rsid wsp:val=&quot;00DE4C1F&quot;/&gt;&lt;wsp:rsid wsp:val=&quot;00DE5AB4&quot;/&gt;&lt;wsp:rsid wsp:val=&quot;00DE6151&quot;/&gt;&lt;wsp:rsid wsp:val=&quot;00DE620A&quot;/&gt;&lt;wsp:rsid wsp:val=&quot;00DF0259&quot;/&gt;&lt;wsp:rsid wsp:val=&quot;00DF0324&quot;/&gt;&lt;wsp:rsid wsp:val=&quot;00DF1498&quot;/&gt;&lt;wsp:rsid wsp:val=&quot;00DF2702&quot;/&gt;&lt;wsp:rsid wsp:val=&quot;00DF6717&quot;/&gt;&lt;wsp:rsid wsp:val=&quot;00E00782&quot;/&gt;&lt;wsp:rsid wsp:val=&quot;00E00E6F&quot;/&gt;&lt;wsp:rsid wsp:val=&quot;00E0108A&quot;/&gt;&lt;wsp:rsid wsp:val=&quot;00E03F72&quot;/&gt;&lt;wsp:rsid wsp:val=&quot;00E0445F&quot;/&gt;&lt;wsp:rsid wsp:val=&quot;00E05582&quot;/&gt;&lt;wsp:rsid wsp:val=&quot;00E06AD1&quot;/&gt;&lt;wsp:rsid wsp:val=&quot;00E0701D&quot;/&gt;&lt;wsp:rsid wsp:val=&quot;00E077C8&quot;/&gt;&lt;wsp:rsid wsp:val=&quot;00E0787D&quot;/&gt;&lt;wsp:rsid wsp:val=&quot;00E10880&quot;/&gt;&lt;wsp:rsid wsp:val=&quot;00E1124C&quot;/&gt;&lt;wsp:rsid wsp:val=&quot;00E12C06&quot;/&gt;&lt;wsp:rsid wsp:val=&quot;00E1303E&quot;/&gt;&lt;wsp:rsid wsp:val=&quot;00E141FD&quot;/&gt;&lt;wsp:rsid wsp:val=&quot;00E14B87&quot;/&gt;&lt;wsp:rsid wsp:val=&quot;00E159B5&quot;/&gt;&lt;wsp:rsid wsp:val=&quot;00E17528&quot;/&gt;&lt;wsp:rsid wsp:val=&quot;00E2049D&quot;/&gt;&lt;wsp:rsid wsp:val=&quot;00E22C1F&quot;/&gt;&lt;wsp:rsid wsp:val=&quot;00E2487E&quot;/&gt;&lt;wsp:rsid wsp:val=&quot;00E26792&quot;/&gt;&lt;wsp:rsid wsp:val=&quot;00E270CE&quot;/&gt;&lt;wsp:rsid wsp:val=&quot;00E31A93&quot;/&gt;&lt;wsp:rsid wsp:val=&quot;00E31E5B&quot;/&gt;&lt;wsp:rsid wsp:val=&quot;00E31EC0&quot;/&gt;&lt;wsp:rsid wsp:val=&quot;00E32105&quot;/&gt;&lt;wsp:rsid wsp:val=&quot;00E32B93&quot;/&gt;&lt;wsp:rsid wsp:val=&quot;00E3307B&quot;/&gt;&lt;wsp:rsid wsp:val=&quot;00E371CA&quot;/&gt;&lt;wsp:rsid wsp:val=&quot;00E421C8&quot;/&gt;&lt;wsp:rsid wsp:val=&quot;00E42266&quot;/&gt;&lt;wsp:rsid wsp:val=&quot;00E43A83&quot;/&gt;&lt;wsp:rsid wsp:val=&quot;00E43BBA&quot;/&gt;&lt;wsp:rsid wsp:val=&quot;00E440BF&quot;/&gt;&lt;wsp:rsid wsp:val=&quot;00E47816&quot;/&gt;&lt;wsp:rsid wsp:val=&quot;00E47993&quot;/&gt;&lt;wsp:rsid wsp:val=&quot;00E47C80&quot;/&gt;&lt;wsp:rsid wsp:val=&quot;00E501FE&quot;/&gt;&lt;wsp:rsid wsp:val=&quot;00E519EC&quot;/&gt;&lt;wsp:rsid wsp:val=&quot;00E55475&quot;/&gt;&lt;wsp:rsid wsp:val=&quot;00E561DC&quot;/&gt;&lt;wsp:rsid wsp:val=&quot;00E5784D&quot;/&gt;&lt;wsp:rsid wsp:val=&quot;00E60D95&quot;/&gt;&lt;wsp:rsid wsp:val=&quot;00E61FA8&quot;/&gt;&lt;wsp:rsid wsp:val=&quot;00E65A4E&quot;/&gt;&lt;wsp:rsid wsp:val=&quot;00E67344&quot;/&gt;&lt;wsp:rsid wsp:val=&quot;00E677EA&quot;/&gt;&lt;wsp:rsid wsp:val=&quot;00E707CA&quot;/&gt;&lt;wsp:rsid wsp:val=&quot;00E71E97&quot;/&gt;&lt;wsp:rsid wsp:val=&quot;00E74640&quot;/&gt;&lt;wsp:rsid wsp:val=&quot;00E74E10&quot;/&gt;&lt;wsp:rsid wsp:val=&quot;00E752EF&quot;/&gt;&lt;wsp:rsid wsp:val=&quot;00E75477&quot;/&gt;&lt;wsp:rsid wsp:val=&quot;00E7573C&quot;/&gt;&lt;wsp:rsid wsp:val=&quot;00E768FB&quot;/&gt;&lt;wsp:rsid wsp:val=&quot;00E818DB&quot;/&gt;&lt;wsp:rsid wsp:val=&quot;00E81B34&quot;/&gt;&lt;wsp:rsid wsp:val=&quot;00E82DFE&quot;/&gt;&lt;wsp:rsid wsp:val=&quot;00E83256&quot;/&gt;&lt;wsp:rsid wsp:val=&quot;00E838DB&quot;/&gt;&lt;wsp:rsid wsp:val=&quot;00E83A42&quot;/&gt;&lt;wsp:rsid wsp:val=&quot;00E84501&quot;/&gt;&lt;wsp:rsid wsp:val=&quot;00E84D43&quot;/&gt;&lt;wsp:rsid wsp:val=&quot;00E90CDB&quot;/&gt;&lt;wsp:rsid wsp:val=&quot;00E927A1&quot;/&gt;&lt;wsp:rsid wsp:val=&quot;00E9525C&quot;/&gt;&lt;wsp:rsid wsp:val=&quot;00E97B06&quot;/&gt;&lt;wsp:rsid wsp:val=&quot;00E97D8D&quot;/&gt;&lt;wsp:rsid wsp:val=&quot;00EA438E&quot;/&gt;&lt;wsp:rsid wsp:val=&quot;00EA45B3&quot;/&gt;&lt;wsp:rsid wsp:val=&quot;00EA4E51&quot;/&gt;&lt;wsp:rsid wsp:val=&quot;00EA547B&quot;/&gt;&lt;wsp:rsid wsp:val=&quot;00EA64C7&quot;/&gt;&lt;wsp:rsid wsp:val=&quot;00EA79CE&quot;/&gt;&lt;wsp:rsid wsp:val=&quot;00EB110C&quot;/&gt;&lt;wsp:rsid wsp:val=&quot;00EB3226&quot;/&gt;&lt;wsp:rsid wsp:val=&quot;00EB5E51&quot;/&gt;&lt;wsp:rsid wsp:val=&quot;00EB7F5E&quot;/&gt;&lt;wsp:rsid wsp:val=&quot;00EC3640&quot;/&gt;&lt;wsp:rsid wsp:val=&quot;00EC4D50&quot;/&gt;&lt;wsp:rsid wsp:val=&quot;00EC4EB1&quot;/&gt;&lt;wsp:rsid wsp:val=&quot;00EC52F1&quot;/&gt;&lt;wsp:rsid wsp:val=&quot;00EC5BCE&quot;/&gt;&lt;wsp:rsid wsp:val=&quot;00EC64BB&quot;/&gt;&lt;wsp:rsid wsp:val=&quot;00ED0193&quot;/&gt;&lt;wsp:rsid wsp:val=&quot;00ED0269&quot;/&gt;&lt;wsp:rsid wsp:val=&quot;00ED119B&quot;/&gt;&lt;wsp:rsid wsp:val=&quot;00ED18CC&quot;/&gt;&lt;wsp:rsid wsp:val=&quot;00ED6DA6&quot;/&gt;&lt;wsp:rsid wsp:val=&quot;00ED6F9B&quot;/&gt;&lt;wsp:rsid wsp:val=&quot;00EE02B9&quot;/&gt;&lt;wsp:rsid wsp:val=&quot;00EE48CF&quot;/&gt;&lt;wsp:rsid wsp:val=&quot;00EE5E65&quot;/&gt;&lt;wsp:rsid wsp:val=&quot;00EE6431&quot;/&gt;&lt;wsp:rsid wsp:val=&quot;00EF1179&quot;/&gt;&lt;wsp:rsid wsp:val=&quot;00EF3591&quot;/&gt;&lt;wsp:rsid wsp:val=&quot;00EF5592&quot;/&gt;&lt;wsp:rsid wsp:val=&quot;00EF79D4&quot;/&gt;&lt;wsp:rsid wsp:val=&quot;00F04446&quot;/&gt;&lt;wsp:rsid wsp:val=&quot;00F05043&quot;/&gt;&lt;wsp:rsid wsp:val=&quot;00F0679A&quot;/&gt;&lt;wsp:rsid wsp:val=&quot;00F068D4&quot;/&gt;&lt;wsp:rsid wsp:val=&quot;00F079C1&quot;/&gt;&lt;wsp:rsid wsp:val=&quot;00F12CC4&quot;/&gt;&lt;wsp:rsid wsp:val=&quot;00F154A4&quot;/&gt;&lt;wsp:rsid wsp:val=&quot;00F17282&quot;/&gt;&lt;wsp:rsid wsp:val=&quot;00F21513&quot;/&gt;&lt;wsp:rsid wsp:val=&quot;00F226BF&quot;/&gt;&lt;wsp:rsid wsp:val=&quot;00F24C0A&quot;/&gt;&lt;wsp:rsid wsp:val=&quot;00F24D5E&quot;/&gt;&lt;wsp:rsid wsp:val=&quot;00F24F77&quot;/&gt;&lt;wsp:rsid wsp:val=&quot;00F256C6&quot;/&gt;&lt;wsp:rsid wsp:val=&quot;00F25AA6&quot;/&gt;&lt;wsp:rsid wsp:val=&quot;00F27C41&quot;/&gt;&lt;wsp:rsid wsp:val=&quot;00F3107E&quot;/&gt;&lt;wsp:rsid wsp:val=&quot;00F33A51&quot;/&gt;&lt;wsp:rsid wsp:val=&quot;00F345DA&quot;/&gt;&lt;wsp:rsid wsp:val=&quot;00F34A3B&quot;/&gt;&lt;wsp:rsid wsp:val=&quot;00F34F6B&quot;/&gt;&lt;wsp:rsid wsp:val=&quot;00F3755F&quot;/&gt;&lt;wsp:rsid wsp:val=&quot;00F37936&quot;/&gt;&lt;wsp:rsid wsp:val=&quot;00F41721&quot;/&gt;&lt;wsp:rsid wsp:val=&quot;00F43373&quot;/&gt;&lt;wsp:rsid wsp:val=&quot;00F43712&quot;/&gt;&lt;wsp:rsid wsp:val=&quot;00F452C1&quot;/&gt;&lt;wsp:rsid wsp:val=&quot;00F470E9&quot;/&gt;&lt;wsp:rsid wsp:val=&quot;00F509B2&quot;/&gt;&lt;wsp:rsid wsp:val=&quot;00F50E50&quot;/&gt;&lt;wsp:rsid wsp:val=&quot;00F54533&quot;/&gt;&lt;wsp:rsid wsp:val=&quot;00F54898&quot;/&gt;&lt;wsp:rsid wsp:val=&quot;00F568DF&quot;/&gt;&lt;wsp:rsid wsp:val=&quot;00F56B66&quot;/&gt;&lt;wsp:rsid wsp:val=&quot;00F57250&quot;/&gt;&lt;wsp:rsid wsp:val=&quot;00F6117F&quot;/&gt;&lt;wsp:rsid wsp:val=&quot;00F6139E&quot;/&gt;&lt;wsp:rsid wsp:val=&quot;00F6544A&quot;/&gt;&lt;wsp:rsid wsp:val=&quot;00F67B52&quot;/&gt;&lt;wsp:rsid wsp:val=&quot;00F70FE9&quot;/&gt;&lt;wsp:rsid wsp:val=&quot;00F71CE1&quot;/&gt;&lt;wsp:rsid wsp:val=&quot;00F721A9&quot;/&gt;&lt;wsp:rsid wsp:val=&quot;00F72ED5&quot;/&gt;&lt;wsp:rsid wsp:val=&quot;00F749C9&quot;/&gt;&lt;wsp:rsid wsp:val=&quot;00F75D5E&quot;/&gt;&lt;wsp:rsid wsp:val=&quot;00F75E41&quot;/&gt;&lt;wsp:rsid wsp:val=&quot;00F77AA5&quot;/&gt;&lt;wsp:rsid wsp:val=&quot;00F80DBB&quot;/&gt;&lt;wsp:rsid wsp:val=&quot;00F818A1&quot;/&gt;&lt;wsp:rsid wsp:val=&quot;00F831A0&quot;/&gt;&lt;wsp:rsid wsp:val=&quot;00F85697&quot;/&gt;&lt;wsp:rsid wsp:val=&quot;00F85BAF&quot;/&gt;&lt;wsp:rsid wsp:val=&quot;00F92901&quot;/&gt;&lt;wsp:rsid wsp:val=&quot;00F93980&quot;/&gt;&lt;wsp:rsid wsp:val=&quot;00F945D3&quot;/&gt;&lt;wsp:rsid wsp:val=&quot;00F9601A&quot;/&gt;&lt;wsp:rsid wsp:val=&quot;00F9775A&quot;/&gt;&lt;wsp:rsid wsp:val=&quot;00FA0F84&quot;/&gt;&lt;wsp:rsid wsp:val=&quot;00FA2093&quot;/&gt;&lt;wsp:rsid wsp:val=&quot;00FA6AFB&quot;/&gt;&lt;wsp:rsid wsp:val=&quot;00FA7FAD&quot;/&gt;&lt;wsp:rsid wsp:val=&quot;00FB0A9B&quot;/&gt;&lt;wsp:rsid wsp:val=&quot;00FB540C&quot;/&gt;&lt;wsp:rsid wsp:val=&quot;00FB63A9&quot;/&gt;&lt;wsp:rsid wsp:val=&quot;00FB63BF&quot;/&gt;&lt;wsp:rsid wsp:val=&quot;00FC1A1A&quot;/&gt;&lt;wsp:rsid wsp:val=&quot;00FC3204&quot;/&gt;&lt;wsp:rsid wsp:val=&quot;00FC3B69&quot;/&gt;&lt;wsp:rsid wsp:val=&quot;00FC46C0&quot;/&gt;&lt;wsp:rsid wsp:val=&quot;00FC4FC4&quot;/&gt;&lt;wsp:rsid wsp:val=&quot;00FC71D6&quot;/&gt;&lt;wsp:rsid wsp:val=&quot;00FD1429&quot;/&gt;&lt;wsp:rsid wsp:val=&quot;00FD4B99&quot;/&gt;&lt;wsp:rsid wsp:val=&quot;00FD5FCC&quot;/&gt;&lt;wsp:rsid wsp:val=&quot;00FD7E20&quot;/&gt;&lt;wsp:rsid wsp:val=&quot;00FE1697&quot;/&gt;&lt;wsp:rsid wsp:val=&quot;00FE329C&quot;/&gt;&lt;wsp:rsid wsp:val=&quot;00FE3A50&quot;/&gt;&lt;wsp:rsid wsp:val=&quot;00FE410A&quot;/&gt;&lt;wsp:rsid wsp:val=&quot;00FE41B5&quot;/&gt;&lt;wsp:rsid wsp:val=&quot;00FE6D5B&quot;/&gt;&lt;wsp:rsid wsp:val=&quot;00FE7750&quot;/&gt;&lt;wsp:rsid wsp:val=&quot;00FF0DA6&quot;/&gt;&lt;wsp:rsid wsp:val=&quot;00FF0FC1&quot;/&gt;&lt;wsp:rsid wsp:val=&quot;00FF69CD&quot;/&gt;&lt;/wsp:rsids&gt;&lt;/w:docPr&gt;&lt;w:body&gt;&lt;wx:sect&gt;&lt;w:p wsp:rsidR=&quot;00000000&quot; wsp:rsidRDefault=&quot;00F12CC4&quot; wsp:rsidP=&quot;00F12CC4&quot;&gt;&lt;m:oMathPara&gt;&lt;m:oMath&gt;&lt;m:r&gt;&lt;w:rPr&gt;&lt;w:rFonts w:ascii=&quot;Cambria Math&quot; w:h-ansi=&quot;Cambria Math&quot;/&gt;&lt;wx:font wx:val=&quot;Cambria Math&quot;/&gt;&lt;w:i/&gt;&lt;/w:rPr&gt;&lt;m:t&gt;L&lt;/m:t&gt;&lt;/m:r&gt;&lt;m:d&gt;&lt;m:dPr&gt;&lt;m:ctrlPr&gt;&lt;w:rPr&gt;&lt;w:rFonts w:ascii=&quot;Cambria Math&quot; w:fareast=&quot;瀹嬩綋&quot; w:h-ansi=&quot;Cambria Math&quot; w:cs=&quot;Timesm:om:om:om:om:om:om:om:om:om:om:om:om:om:om:om:om:om:om:om:om:o New Roman&quot;/&gt;&lt;wx:font wx:val=&quot;Cambria Math&quot;/&gt;&lt;w:sz-cs w:val=&quot;22&quot;/&gt;&lt;/w:rPr&gt;&lt;/m:ctrlPr&gt;&lt;/m:dPr&gt;&lt;m:e&gt;&lt;m:r&gt;&lt;m:rPr&gt;&lt;m:sty m:val=&quot;p&quot;/&gt;&lt;/m:rPr&gt;&lt;w:rPr&gt;&lt;w:rFonts w:ascii=&quot;Cambria Math&quot; w:h-ansi=&quot;Cambria Math&quot; w:hint=&quot;fareast&quot;/&gt;&lt;wx:font wx:val=&quot;瀹o嬩?:o?/m:o&gt;&lt;/m:ow:rm:oPr&gt;m:o&lt;m:m:ot&gt;鐢熷笀姣?/m:t&gt;&lt;/m:r&gt;&lt;/m:e&gt;&lt;/m:d&gt;&lt;m:r&gt;&lt;m:rPr&gt;&lt;m:sty m:val=&quot;p&quot;/&gt;&lt;/m:rPr&gt;&lt;w:rPr&gt;&lt;w:rFonts w:ascii=&quot;Cambria Math&quot; w:h-ansi=&quot;Cambria Math&quot;/&gt;&lt;wx:font wx:val=&quot;Cambria Math&quot;/&gt;&lt;/w:rPr&gt;&lt;bria Mm:ta Math&gt;=&lt;ath&quot; w/m:&quot; w:hit&gt;&lt;:hint=/m:nt=&quot;far&gt;&lt;&quot;faream:freast&quot;&gt;&lt;mst&quot;/&gt;&lt;:fP/&gt;&lt;wx:r&gt;&lt;wx:fonm:cfont wtrlt wx:vPr&gt;x:val=&lt;w:rl=&quot;瀹oPr&gt;&lt;瀹嬩?:ow:rFon/m:ots w:a/m:oscii=&quot;rm:oCambri&gt;m:oa Matm:m:oh&quot; w:fareast=&quot;瀹嬩綋&quot; w:h-ansi=&quot;Cambria Math&quot; w:cs=&quot;Times New Romanbria M&quot;/&gt;&lt;wx:foa Mathnt wx:valath&quot; w=&quot;Cambria&quot; w:hi Math&quot;/&gt;&lt;:hint=w:sz-cs wnt=&quot;fa:val=&quot;22&quot;&quot;farea/&gt;&lt;/w:rPrreast&quot;&gt;&lt;/m:ctrlst&quot;/&gt;&lt;Pr&gt;&lt;/m:fP/&gt;&lt;wx:r&gt;&lt;m:num&gt;wx:fon&lt;m:r&gt;&lt;w:rfont wPr&gt;&lt;w:rFot wx:vnts w:ascx:val=ii=&quot;Cambril=&quot;瀹oa Math&quot; w:h?:o-ansi=&quot;Camm:obria Math&quot;m:o/&gt;&lt;wMx:fontm:o wx:vahl=&quot;Cm:oambria Mwatm:oh&quot;/&gt;&lt;w:i/&gt;i&lt;/w:rPr&gt;&lt;m:t&gt;N&lt;=/m:t&gt;&lt;/m:r&gt;&lt;/m:anum&gt;&lt;m:den&gt;&lt;m:ra&gt;&lt;w:rPr&gt;&lt;w:rFon&quot;ts w:ascii=&quot;Cam&lt;bria Math&quot; w:h-:ansi=&quot;Cambria Mnath&quot;/&gt;&lt;wx:font wwx:val=&quot;Cambriav Math&quot;/&gt;&lt;w:i/&gt;&lt;=/w:rPr&gt;&lt;m:t&gt;X+Y??.5&lt;/m:t&gt;&lt;/m:or&gt;&lt;/m:den&gt;&lt;/mo:f&gt;&lt;m:r&gt;&lt;w:rPor&gt;&lt;w:rFonts wo:ascii=&quot;Cambroia Math&quot; w:h-oansi=&quot;Cambria Math&quot;/&gt;&lt;wx:font wx:val=&quot;Cambria Math&quot;/&gt;&lt;w:i/&gt;&lt;/w:rPr&gt;&lt;m:t&gt;=&lt;/m:t&gt;&lt;/m:r&gt;&lt;m:f&gt;&lt;m:fPr&gt;&lt;m:ctrlPr&gt;&lt;w:rPr&gt;&lt;w:rFonts w:ascii=&quot;Cambria Math&quot; w:fareast=&quot;瀹嬩綋&quot; w:h-X+Y?ansi=&quot;Cambria Mm:oath&quot; w:cs=:f&gt;&quot;Tim/moes New Ro&lt;w:man&quot;/rPo&gt;&lt;wx:fonii=t wx:v woal=&quot;Camh&quot; bria Mabroth&quot;/&gt;&lt;mbrw:i/&gt;&lt;w:h-osz-cs:fo w:val=&quot;22&quot;/&gt;&lt;/wmbr:rPr&gt;&lt;/m:ctrlPr&gt;i/&gt;&lt;/m:fPr&gt;&lt;m:num&gt;&lt;=&lt;/m:r&gt;&lt;w:rPr&gt;&lt;w:rFf&gt;&lt;onts w:ascii=&quot;CaPr&gt;mbria Math&quot; w:h-ntsansi=&quot;Cambria Mabrith&quot;/&gt;&lt;wx:font wxeas:val=&quot;Cambria Math&quot;/&gt;&lt;w:i/&gt;&lt;/w:rPr&gt;&lt;m:t&gt;N&lt;/m:t&gt;&lt;/m:r&gt;&lt;/m:num&gt;&lt;m:den&gt;&lt;m:r&gt;&lt;w:rPr&gt;&lt;w:rFonts w:ascii=&quot;Cambria Math&quot; w:h-ansi=&quot;Cambria Math&quot;/&gt;&lt;wx:font wx:val=&quot;Cambria Math&quot;/&gt;&lt;w:i/&gt;&lt;/w:rPr&gt;&lt;m:t&gt;C脳40%+C?&gt;?0%脳0.5&lt;/m:t&gt;&lt;/m:ntsr&gt;&lt;/m:den&gt;&lt;/m:f&gt;&lt;/mbri:oMath&gt;&lt;/m:oMathPareaCasa&gt;&lt;/w:p&gt;&lt;w:sectPr /&gt;wth&quot;sp:rsidR=&quot;00000:t000&gt;&lt;m&quot;&gt;&lt;w:pgSz w:w:d=&quot;12r&gt;&lt;240&quot; w:h=&quot;15:r840&quot;/&lt;m:&gt;&lt;w:pgMar wmb:top=&quot;ont1440&quot; w:rii=ght=&quot;18bri00&quot; w:botwxtom=&quot;144si=0&quot; w:lefbrt=&quot;1800&quot; w:header=&quot;/w720&quot; w:footer=&quot;720&quot;?&gt; w:gutter=&quot;0&quot;/&gt;&lt;w:cols w:space=&quot;720&quot;/&gt;&lt;/w:sectPr&gt;&lt;/wx:sect&gt;&lt;/w:body&gt;&lt;/w:wordDocument&gt;">
            <v:path/>
            <v:fill on="f" focussize="0,0"/>
            <v:stroke on="f" joinstyle="miter"/>
            <v:imagedata r:id="rId9" chromakey="#FFFFFF" o:title=""/>
            <o:lock v:ext="edit" aspectratio="t"/>
            <w10:wrap type="none"/>
            <w10:anchorlock/>
          </v:shape>
        </w:pict>
      </w:r>
      <w:r>
        <w:rPr>
          <w:rFonts w:ascii="Times New Roman" w:hAnsi="Times New Roman" w:eastAsia="楷体"/>
          <w:sz w:val="21"/>
          <w:szCs w:val="21"/>
        </w:rPr>
        <w:instrText xml:space="preserve"> </w:instrText>
      </w:r>
      <w:r>
        <w:rPr>
          <w:rFonts w:ascii="Times New Roman" w:hAnsi="Times New Roman" w:eastAsia="楷体"/>
          <w:sz w:val="21"/>
          <w:szCs w:val="21"/>
        </w:rPr>
        <w:fldChar w:fldCharType="end"/>
      </w:r>
      <w:r>
        <w:rPr>
          <w:rFonts w:ascii="Times New Roman" w:hAnsi="Times New Roman" w:eastAsia="楷体"/>
          <w:sz w:val="21"/>
          <w:szCs w:val="21"/>
        </w:rPr>
        <w:fldChar w:fldCharType="begin"/>
      </w:r>
      <w:r>
        <w:rPr>
          <w:rFonts w:ascii="Times New Roman" w:hAnsi="Times New Roman" w:eastAsia="楷体"/>
          <w:sz w:val="21"/>
          <w:szCs w:val="21"/>
        </w:rPr>
        <w:instrText xml:space="preserve"> QUOTE </w:instrText>
      </w:r>
      <w:r>
        <w:rPr>
          <w:rFonts w:ascii="Times New Roman" w:hAnsi="Times New Roman" w:eastAsia="楷体"/>
          <w:sz w:val="21"/>
          <w:szCs w:val="21"/>
        </w:rPr>
        <w:pict>
          <v:shape id="_x0000_i1028" o:spt="75" type="#_x0000_t75" style="height:30.75pt;width:111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revisionView w:markup=&quot;off&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4655E&quot;/&gt;&lt;wsp:rsid wsp:val=&quot;00031C4C&quot;/&gt;&lt;wsp:rsid wsp:val=&quot;00054543&quot;/&gt;&lt;wsp:rsid wsp:val=&quot;000630E5&quot;/&gt;&lt;wsp:rsid wsp:val=&quot;00066067&quot;/&gt;&lt;wsp:rsid wsp:val=&quot;00066763&quot;/&gt;&lt;wsp:rsid wsp:val=&quot;00083B49&quot;/&gt;&lt;wsp:rsid wsp:val=&quot;000B1257&quot;/&gt;&lt;wsp:rsid wsp:val=&quot;000B43FA&quot;/&gt;&lt;wsp:rsid wsp:val=&quot;000E46E1&quot;/&gt;&lt;wsp:rsid wsp:val=&quot;000F1D3E&quot;/&gt;&lt;wsp:rsid wsp:val=&quot;00192181&quot;/&gt;&lt;wsp:rsid wsp:val=&quot;001D3B6E&quot;/&gt;&lt;wsp:rsid wsp:val=&quot;00214039&quot;/&gt;&lt;wsp:rsid wsp:val=&quot;00214250&quot;/&gt;&lt;wsp:rsid wsp:val=&quot;00216ECF&quot;/&gt;&lt;wsp:rsid wsp:val=&quot;00235DDA&quot;/&gt;&lt;wsp:rsid wsp:val=&quot;002D69A0&quot;/&gt;&lt;wsp:rsid wsp:val=&quot;00365ADA&quot;/&gt;&lt;wsp:rsid wsp:val=&quot;00392108&quot;/&gt;&lt;wsp:rsid wsp:val=&quot;00453308&quot;/&gt;&lt;wsp:rsid wsp:val=&quot;00454890&quot;/&gt;&lt;wsp:rsid wsp:val=&quot;004903F6&quot;/&gt;&lt;wsp:rsid wsp:val=&quot;0049601E&quot;/&gt;&lt;wsp:rsid wsp:val=&quot;004C28B8&quot;/&gt;&lt;wsp:rsid wsp:val=&quot;004F558E&quot;/&gt;&lt;wsp:rsid wsp:val=&quot;00571EC6&quot;/&gt;&lt;wsp:rsid wsp:val=&quot;00660848&quot;/&gt;&lt;wsp:rsid wsp:val=&quot;00664257&quot;/&gt;&lt;wsp:rsid wsp:val=&quot;006762A7&quot;/&gt;&lt;wsp:rsid wsp:val=&quot;00687CC2&quot;/&gt;&lt;wsp:rsid wsp:val=&quot;006B5652&quot;/&gt;&lt;wsp:rsid wsp:val=&quot;006F177B&quot;/&gt;&lt;wsp:rsid wsp:val=&quot;007238AF&quot;/&gt;&lt;wsp:rsid wsp:val=&quot;00740097&quot;/&gt;&lt;wsp:rsid wsp:val=&quot;00765A3C&quot;/&gt;&lt;wsp:rsid wsp:val=&quot;007A39EE&quot;/&gt;&lt;wsp:rsid wsp:val=&quot;007B4469&quot;/&gt;&lt;wsp:rsid wsp:val=&quot;007C7CE3&quot;/&gt;&lt;wsp:rsid wsp:val=&quot;00850B5B&quot;/&gt;&lt;wsp:rsid wsp:val=&quot;00852C2A&quot;/&gt;&lt;wsp:rsid wsp:val=&quot;008D13E0&quot;/&gt;&lt;wsp:rsid wsp:val=&quot;0092075F&quot;/&gt;&lt;wsp:rsid wsp:val=&quot;009B4E7A&quot;/&gt;&lt;wsp:rsid wsp:val=&quot;009E2C97&quot;/&gt;&lt;wsp:rsid wsp:val=&quot;00A60095&quot;/&gt;&lt;wsp:rsid wsp:val=&quot;00AA389B&quot;/&gt;&lt;wsp:rsid wsp:val=&quot;00B1459A&quot;/&gt;&lt;wsp:rsid wsp:val=&quot;00C4099C&quot;/&gt;&lt;wsp:rsid wsp:val=&quot;00C4655E&quot;/&gt;&lt;wsp:rsid wsp:val=&quot;00CB51ED&quot;/&gt;&lt;wsp:rsid wsp:val=&quot;00CE0F26&quot;/&gt;&lt;wsp:rsid wsp:val=&quot;00D2592D&quot;/&gt;&lt;wsp:rsid wsp:val=&quot;00D31842&quot;/&gt;&lt;wsp:rsid wsp:val=&quot;00D61520&quot;/&gt;&lt;wsp:rsid wsp:val=&quot;00DC10AB&quot;/&gt;&lt;wsp:rsid wsp:val=&quot;00DE1EE8&quot;/&gt;&lt;wsp:rsid wsp:val=&quot;00E159CD&quot;/&gt;&lt;wsp:rsid wsp:val=&quot;00E83659&quot;/&gt;&lt;wsp:rsid wsp:val=&quot;00EB0706&quot;/&gt;&lt;wsp:rsid wsp:val=&quot;00EB3DD4&quot;/&gt;&lt;wsp:rsid wsp:val=&quot;00EF0A78&quot;/&gt;&lt;wsp:rsid wsp:val=&quot;00F07393&quot;/&gt;&lt;wsp:rsid wsp:val=&quot;00F30882&quot;/&gt;&lt;/wsp:rsids&gt;&lt;/w:docPr&gt;&lt;w:body&gt;&lt;wx:sect&gt;&lt;w:p wsp:rsidR=&quot;00000000&quot; wsp:rsidRDefault=&quot;00E159CD&quot; wsp:rsidP=&quot;00E159CD&quot;&gt;&lt;m:oMathPara&gt;&lt;m:oMath&gt;&lt;m:r&gt;&lt;aml:annotation aml:id=&quot;0&quot; w:type=&quot;Word.Insertion&quot; aml:author=&quot;鏍炬枌&quot; aml:createdate=&quot;2021-04-13T13:56:00Z&quot;&gt;&lt;aml:content&gt;&lt;w:rPr&gt;&lt;w:rFonts w:ascii=&quot;Cambria Math&quot; w:fareast=&quot;浠垮畫_GB2312&quot; wrsidRDrsidRDrsidRDrsidRDrsidRDrsidRDrsidRDrsidRDrsidRDrsidRDrsidRDrsidRDrsidRDrsidRDrsidRDrsidRDrsidRDrsidRDrsidRDrsidRDrsidRD:h-ansi=&quot;Cambria Math&quot; w:cs=&quot;Cambria Math&quot;/&gt;&lt;wx:font wx:val=&quot;Cambria Math&quot;/&gt;&lt;w:i/&gt;&lt;w:kern w:val=&quot;0&quot;/&gt;&lt;w:sz w:val=&quot;24&quot;/&gt;&lt;/w:rPr&gt;&lt;m:t&gt;L&lt;/m:t&gt;&lt;/aml:content&gt;&lt;/aml:annotation&gt;&lt;/m:r&gt;&lt;m:r&gt;&lt;aml:annotation aml:id=&quot;1&quot; w:type=&quot;Word.Insertion&quot; aml:author=&quot;鏍炬?RD? amldRD:createdate=&quot;2021-04-13T13:56:00Z&quot;&gt;&lt;aml:content&gt;&lt;m:rPr&gt;&lt;m:sty m:val=&quot;p&quot;/&gt;&lt;/m:rPr&gt;&lt;w:rPr&gt;&lt;w:rFonts w:ascii=&quot;Cambria Math&quot; w:fareast=&lt;/&quot;浠垮?t&gt;&lt;/媉GB23ml:co12&quot; w:tent&gt;h-ansi/aml:=&quot;Cambnnotaria Maion&gt;&lt;th&quot; w:m:r&gt;&lt;cs=&quot;Ca:r&gt;&lt;ambria l:annMath&quot;/tatio&gt;&lt;wx:f aml:ont wxd=&quot;1&quot;:val=&quot;w:typCambri=&quot;Wora Math.Inse&quot;/&gt;&lt;w:tion&quot;kern waml:a:val=&quot;thor=0&quot;/&gt;&lt;w:炬?RDsz w:val=dRD&quot;24&quot;/&gt;&lt;/w:rPr&gt;&lt;m:t&gt;(&lt;/m:t&gt;&lt;/aml:cot=&lt;/ntent&gt;&lt;/am&lt;/l:annotatioon&gt;&lt;/m:r&gt;&lt;m:&gt;r&gt;&lt;aml:anno:tation aml:aid=&quot;2&quot; w:ty&lt;pe=&quot;Word.In&lt;sertion&quot; amal:author=&quot;?n牼鏂? aml:atiocreatedate=aml:&quot;2021-04-13=&quot;1&quot;T13:56:00Z&quot;:typ&gt;&lt;aml:conte&quot;Wornt&gt;&lt;m:rPr&gt;&lt;Insem:sty m:valion&quot;=&quot;p&quot;/&gt;&lt;/m:rml:aPr&gt;&lt;w:rPr&gt;&lt;hor=w:rFonts w:a?&lt;/RDscii=&quot;Camb&lt;/ridRDa Math&quot;oo w:fareast=&quot;:&gt;浠垮畫_GB231anno:2&quot; w:h-ansi=aml:a&quot;Cambria Matw:ty&lt;h&quot; w:cs=&quot;瀹?rd.In&lt;浣? w:hint=ion&quot; ama&quot;fareast&quot;/&gt;uthor=&quot;?n&lt;wx:font wx:vall:atio=&quot;浠垮畫_GB2312date=aml:&quot;/&gt;&lt;w:kern w:va04-13=&quot;1&quot;l=&quot;0&quot;/&gt;&lt;w:sz w::00Z&quot;:typval=&quot;24&quot;/&gt;&lt;/s w:a?&lt;/w:rconte&quot;WorPr=&quot;Camb&lt;/&gt;&lt;m:t&gt;鐢熷笀?&lt;RDa Math&quot;oom:rPr&gt;&lt;Inse瘮?:fareast=&quot;:&gt;?/m:t&gt;&lt;/amm:sty GB231anno:m:valion&quot;l:contenansi=aml:at&gt;&lt;/aml=&quot;p&quot;/&gt;&lt;/m:a Matw:ty&lt;rml:a:annotation&gt;=&quot;瀹?rd.In&lt;&lt;/mPr&gt;&lt;w:rPr&gt;&lt;hor=:rion&quot; ama&gt;&lt;m:r&gt;&lt;aml:anw:rFontthor=&quot;?ns w:a?RDnotation a:a?&lt;/ml:all:atioidscii=&quot;Camamb&lt;/bridRD=&quot;3&quot; w:=aml:type=&quot;Wooord.Insertion&quot; am3=&quot;1&quot;l:a:&gt;uthor=&quot;鏍炬枌&quot; aml:cr00Z&quot;:tnno:ypeatedate=&quot;2021-04-13T13:oml:ante&quot;Wor56:00Z&quot;&gt;&lt;aml:content:ty&lt;&gt;&lt;m:rP&gt;&lt;Inser&gt;&lt;m:sty m:val=&quot;In&lt;p&quot;/&gt;&lt;/m:rPr&gt;&lt;won&quot;:rPr&gt;&lt;w:rFoamants w:ascii=&quot;Cambri?&lt;/l:aa Math&quot;?n&quot; w:fareast=&quot;浠mb&lt;/垮畫_GB23&gt;&lt;horl:atio=12&quot; w:e=&quot;Wooh-ansi=&quot;Cambria Math&quot; :=aml&quot;l:a:&gt;:w:w:a?RDcs=&quot;Cambria Math&quot;/&gt;&lt;wmno:3=&quot;1&quot;x:font wxbridRD:val=&quot;Cambrl:aia Mattyph&quot;/&gt;&lt;w:kern w:val=&quot;0&quot;/ty&lt;&gt;&lt;w:sz w:vWoral=&quot;24&quot;/&gt;&lt;/w:rPr&gt;&lt;In&lt;m:t&gt;=&lt;/m:t&gt;&lt;/anseml:co?&lt;/ntent&gt;&lt;/aamaml:annotation&gt;&lt;/m:r&lt;/on&quot;&gt;&lt;m:f&gt;&lt;m:&quot;?nfPr&gt;&lt;m:ctrlPr&gt;&lt;aml:annotl:aation aml:id=&quot;4&quot; w:type=&quot;Word.Insertion&quot; aml:author=&quot;鏍炬?o:? aml:created?RDate&quot;1&quot;=&quot;2021-04-1l:a3T13:56:00Z&quot;&gt;&lt;aml:contdRtypDent&gt;&lt;wty&lt;:rPr&gt;&lt;w:rFonts w:ascii=&quot;CambWorriaIn&lt; Math&quot; w:f&lt;/areast=&quot;浠垮畫_GB2312&quot;&lt;/&lt;/aamaansm:r&lt;/e w:h-ansi=&quot;Cambria Math&quot; w:cs=&lt;m&gt;&lt;aml:&quot;?n&quot;瀹嬩?&lt;/m:ron&quot;? w:hint=&quot;fareaw:type=st&quot;/&gt;&lt;ation amwx:font wx:val:annotl&quot;鏍炬?o::a=&quot;Cambria Mation&quot; amth&quot;/&gt;&lt;w:kern w:-1l:aval=&quot;0&quot;/&gt;rd.Insert&lt;w:szte&quot;1&quot; w:val=&quot;2&lt;wty&lt;4&quot;/&gt;&lt;/w:rPr&gt;&quot; w:f&lt;/&lt;/aml:contentted?dRtypRD&gt;iaIn&lt;&lt;/aml:an:r&lt;/notation&gt;&lt;/m:ctrlPr&gt;&lt;/m:fPrmbWorma&gt;&lt;mo&lt;amlntdRD:num&gt;&lt;m:r&gt;&lt;aml:annotation aml:i?ndse=e=&quot;5&quot; w:type=&quot;Word.Insertion&quot; aml:author=&quot;?爊&quot;炬枌&quot; aml:createdate=&quot;2021-04-13T13:56 l:aam:00Z&quot;&gt;&lt;l:aaml:content&gt;&lt;m:rPr&gt;&lt;m:sty m:vf&lt;/aty&lt;l=&quot;&quot;1&quot;p&quot;/&gt;&lt;/m:rPr&gt;ert&lt;w:rPr&gt;&lt;w:rFonts r&lt;/w:asIn&lt;cii=&quot;Catypmbria Math&quot; w:far?RDeast=aml&quot;浠垮畫bWorma_GB2312&quot; w:rmbWorh-ansi=&quot;Camb?ndse=ria Math&quot; ontml:i?ndRDw:cs=&quot;Cambria Ml:idsehor=&quot;?ath&quot;/&gt;&lt;wx:font wx:vuthor=al=&quot;Cambria Math&quot;/&gt;&lt;l:aw:kern=&quot;鏍n&quot; w:val=&quot;vf&lt;/0&quot;/&gt;&lt;w6 am:sz w:val=&quot;24&quot;/aty&lt;&gt;&lt;/w:rPr&gt;&lt;m:t&gt;N&lt; r&lt;//m:l:at&gt;&lt;/aml:c&quot;&quot;1&quot;ontent&gt;&lt;/asIn&lt;ml:annotatio=amln&gt;&lt;/m:r&gt;&lt;/m:num&gt;&lt;ertm:deatypn&gt;&lt;m:r&gt;&lt;aaml:annotat=ion aml:id=&quot;6&quot; w:type=&quot;Wo?RDrdr.Inserntion&quot; aml:a?uthor=&quot;鏍炬枌&quot; aml:createdate=&quot;2idsedRhor=D021-0&lt;l:a4-13T1f&lt;/3:56:00Z&quot;&gt;&lt;aml:content&gt;&lt;w:rPr&gt;&lt;w:rFon? am爊aty&lt;&quot;t r&lt;/s w:ascii=&quot;Cambria Math&quot; w:fareast=&quot;浠垮畫_GB2l&lt;/tio=amlasIn&lt;:c&quot;&quot;1&quot;312&quot;/m:l:a w:h-ansi=&quot;Cambria Math&quot; w:cnnotat=s=&quot;Ca&lt;m:r&gt;&lt;ambria M:deatypath&quot;/&gt;&lt;wx:fm&gt;&lt;ertont wx: aml:a?val=&quot;Cambri.Inserna Math&quot;/&gt;&lt;w:i/&gt;1f&lt;/o?RDrdr&lt;w:kern w:va&lt;l:al=&quot;0&quot;/&quot;Wo?RD&gt;&lt;w:sz hor=w:val=&quot;r&lt;/24&quot;/&gt;&lt;/w:rPr&gt;&lt;midse:t&gt;Xty&lt;&lt;/m:t&gt;&lt;/aml:content&gt;&lt;dR? amD/aml:annotation&gt;&lt;/m:r&gt;&lt;m:r&gt;?爊&quot;&lt;aml:annotation aml:id=&quot;7&quot;&quot;= w:type=&quot;Word.Insertion&quot; aaml:author=&quot;鏍炬枌&quot; aml:createdl:a?atypate=&quot;2021-04-13T13:561f&lt;/:sern00Z&quot;&gt;&lt;aml:ertcontent&gt;&lt;m:rP&lt;l:ar&gt;&lt;m:sty Drdrm:val=&quot;p&quot;r&lt;/&quot;/&gt;&lt;/m:rPrhor=&gt;&lt;w:rPr&gt;&lt;w:rFonts?RD Xty&lt;w:ascii=&quot;Cambria mD/aMidseath&quot; w:fareast? am=&quot;浠垮畫_GB2312&quot;&gt;&lt;m:r&gt;? w:h-anst&gt;&lt;=&quot;7&quot;&quot;=dRDi=&quot;Cambria Math:r&gt;鏍n&quot;&quot; w:cs:id=&quot;7&quot;=&quot;Cambriion&quot; aaa Math&quot;/l:a?&gt;&lt;wx:fo1f&lt;/nt wx:val=&quot;Cambria Math&quot;/&gt;&lt;waml:au:keratypn wsern:val&lt;l:a=&quot;0&quot;r&lt;/&quot;/&gt;&lt;w:sz w:val=&quot;24&quot;/&gt;&lt;/w:rPr&gt;&lt;m:t&gt;+&lt;/m:t&gt;&lt;/amlert:cDrdhorXtymD/a&lt;=rontent&gt;&lt;/aml:annotation&gt;&lt;/m:r&gt;&lt;m:r&gt;&lt;aml:annotation aml:id=?R=?? amDidse&quot;8&quot; w:type=&quot;Word.Insertion&quot; aml:author=&quot;鏍炬枌&quot; aml:cf&lt;/re:a?a aateda&quot;7&quot;te=dRD鏍n&quot;&quot;2021-04-13T13:56:00Z&quot;&gt;&lt;aml:content&gt;&lt;w&quot;r&lt;/:rPr&gt;&lt;l:a&lt;w:rsernFonts w:atypascii=&quot;C:auambria Math&quot; w:fareast=&quot;mD/a浠垮畫_GBhorXty&lt;2312&quot; w:hDrdhor=-ansi=&quot;Cambrt:cDrdria Math&quot; amle:id=?R=rtw:cs=&quot;瀹嬩綋&quot;/ml:id=?R??&gt;&lt;wx:font wx:val=:id=?ml:cf&lt;/R? am&quot;Cambria Math&quot;/:cre:a?&gt;&lt;w:id=?RDidsei/&gt;&lt;w:kern crea aaw:ml:id=?&lt;w&quot;r&lt;/RDval=&quot;0&quot;/&gt;&lt;w:sz w:teda&quot;7&quot;vr&gt;&lt;l:aal=&quot;24&quot;/&gt;&lt;/w:rPr&gt;&lt;m:t&gt;Y&lt;/m:t&gt;&lt;dR:rs=&quot;mD/aernD鏍n&quot;/aml:content&gt;&lt;/amlte=dRD:annXty&lt;ota w:atyption&gt;&lt;/m:r&gt;&lt;m:r&gt;&lt;aml:=?R=annotatihor=on aml=&quot;C:au:id=&quot;9&quot; /w:type=&quot;Wor?d.Insertion&quot;Drdr aml:author=&quot;鏍a?炬枌&quot; aml:cre? amatedate=&quot;2am&quot;r&lt;/lert021-04-13Ta aa13:56:00Z&quot;&gt;&lt;aml:conteidsent&lt;l:a&gt;&lt;m:rPr&gt;&lt;m:sty m:val=&quot;a&quot;7mD/a&quot;p&quot;/&gt;&lt;/m:rPr&gt;&lt;w:rP?RDrsern&gt;&lt;w:rFonts w:ascii=&quot;Cambty&lt;ria Math鏍n&quot;&quot; w:fareas=?R=t=&quot;浠垮畫 w:atyp_GB2d=&quot;9&quot; /312&quot; w:h-aatihor=nsi=&quot;Cte=dRDambre=&quot;Wor?ia Math&quot; w:cs=&quot;瀹or=&quot;鏍a?嬩綋&quot; aml=&quot;C:&quot;2am&quot;r&lt;/auw:hint=&quot;fareasrtion&quot;Drdrt&quot;/&gt;&lt;wxcre? am:font wx13Ta aa:val=&quot;浠垮dsent&lt;l:a畫_Gal=&quot;a&quot;7mD/aB2312&quot;/&gt;&lt;w:kern w:val=&quot;0&quot;/&gt;&lt;w:sz=&quot;2amlert w:val=&quot;2:contei:val=&quot;arP?RDrserni=&quot;Cafd=&quot;9&quot; /areas=?R=mbty&lt;&quot;7&quot;dse4&quot;/&gt;&lt;/w:rPr&gt;&lt;m:t&gt;脳&lt;/m:t&gt;&lt;/aml:content&gt;&lt;/aml:annotation&gt;&lt;/m:r&gt;&lt;m:r&quot;r&lt;/r&gt;&lt;w:rP?r=&quot;鏍a?RDe=&quot;Wor?&gt;atihor=&lt;am w:atyplia Math鏍n&quot;:annotation aml:id=&quot;10&quot; w:type=&quot;WorD/ad.Insertion&quot; l:aaml:autTa aahor=&quot;鏍炬cre? am枌&quot; aml:ciion&quot;Drdr=&quot;Cte=dl=&quot;C=&quot;9&quot; /:auRDreatedate=&quot;as=?R=2021-04-13T13:5mbty&lt;6:00Z&quot;&gt;&lt;aml:rserncontent&gt;&lt;m:rPr&gt;&lt;m&quot;a&quot;7&quot;:sty m:var&quot;r&lt;/l=&quot;p&quot;/&gt;&lt;/eidsem:rPr&gt;&lt;w:l&quot;鏍a?ertrPr&gt;&lt;w:rFonts Wor?w:ascii=&quot;Cambria Mhor=ath&quot; w:fareast=&quot;浠垮WorD/a畫 w:atyp_GB2312&quot; w:h-ansi=n&quot; l:a&quot;Cambriath鏍n&quot;a Math:utTa aar&quot;9&quot; /P?RD&quot; w:cs=&quot;Cambria Mathe? am&quot;/&gt;&lt;s=?R=wx:font wx:val=&quot;Cambria MaDrdrtbty&lt;h&quot;/&gt;&lt;w:kern w:val=&quot;0&quot;/r&quot;r&lt;/&gt;&lt;w:ausern:sz w:val=&quot;2dRD4&quot;/&gt;&lt;/w:rPr&gt;&lt;m:&quot;鏍a?ta&quot;7&quot;&gt;0.5&lt;/m:t&gt;&lt;/aml:content&gt;&lt;/Wor?aml:annoidsetationD/a&gt;&lt;/m:r&gt;&lt;/m:den&gt;hor=&lt;/ertm:f&gt;&lt;/m:oMath&gt;&lt;/m:oaMathPara&gt;&lt;//w:p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joinstyle="miter"/>
            <v:imagedata r:id="rId10" chromakey="#FFFFFF" o:title=""/>
            <o:lock v:ext="edit" aspectratio="t"/>
            <w10:wrap type="none"/>
            <w10:anchorlock/>
          </v:shape>
        </w:pict>
      </w:r>
      <w:r>
        <w:rPr>
          <w:rFonts w:ascii="Times New Roman" w:hAnsi="Times New Roman" w:eastAsia="楷体"/>
          <w:sz w:val="21"/>
          <w:szCs w:val="21"/>
        </w:rPr>
        <w:instrText xml:space="preserve"> </w:instrText>
      </w:r>
      <w:r>
        <w:rPr>
          <w:rFonts w:ascii="Times New Roman" w:hAnsi="Times New Roman" w:eastAsia="楷体"/>
          <w:sz w:val="21"/>
          <w:szCs w:val="21"/>
        </w:rPr>
        <w:fldChar w:fldCharType="end"/>
      </w:r>
      <w:r>
        <w:rPr>
          <w:rFonts w:ascii="Times New Roman" w:hAnsi="Times New Roman" w:eastAsia="楷体"/>
          <w:sz w:val="21"/>
          <w:szCs w:val="21"/>
        </w:rPr>
        <w:t xml:space="preserve"> </w:t>
      </w:r>
      <w:r>
        <w:rPr>
          <w:rFonts w:ascii="Times New Roman" w:hAnsi="Times New Roman" w:eastAsia="楷体"/>
          <w:sz w:val="21"/>
          <w:szCs w:val="21"/>
        </w:rPr>
        <w:fldChar w:fldCharType="begin"/>
      </w:r>
      <w:r>
        <w:rPr>
          <w:rFonts w:ascii="Times New Roman" w:hAnsi="Times New Roman" w:eastAsia="楷体"/>
          <w:sz w:val="21"/>
          <w:szCs w:val="21"/>
        </w:rPr>
        <w:instrText xml:space="preserve"> QUOTE </w:instrText>
      </w:r>
      <w:r>
        <w:rPr>
          <w:rFonts w:ascii="Times New Roman" w:hAnsi="Times New Roman" w:eastAsia="楷体"/>
          <w:sz w:val="21"/>
          <w:szCs w:val="21"/>
        </w:rPr>
        <w:pict>
          <v:shape id="_x0000_i1029" o:spt="75" type="#_x0000_t75" style="height:30.75pt;width:93.75pt;" filled="f" o:preferrelative="t" stroked="f" coordsize="21600,21600"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bordersDontSurroundHeader/&gt;&lt;w:bordersDontSurroundFooter/&gt;&lt;w:revisionView w:markup=&quot;off&quot;/&gt;&lt;w:defaultTabStop w:val=&quot;420&quot;/&gt;&lt;w:drawingGridVerticalSpacing w:val=&quot;156&quot;/&gt;&lt;w:displayHorizontalDrawingGridEvery w:val=&quot;0&quot;/&gt;&lt;w:displayVerticalDrawingGridEvery w:val=&quot;2&quot;/&gt;&lt;w:punctuationKerning/&gt;&lt;w:characterSpacingControl w:val=&quot;CompressPunctuation&quot;/&gt;&lt;w:optimizeForBrowser/&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C4655E&quot;/&gt;&lt;wsp:rsid wsp:val=&quot;00031C4C&quot;/&gt;&lt;wsp:rsid wsp:val=&quot;00054543&quot;/&gt;&lt;wsp:rsid wsp:val=&quot;000630E5&quot;/&gt;&lt;wsp:rsid wsp:val=&quot;00066067&quot;/&gt;&lt;wsp:rsid wsp:val=&quot;00066763&quot;/&gt;&lt;wsp:rsid wsp:val=&quot;00083B49&quot;/&gt;&lt;wsp:rsid wsp:val=&quot;000B1257&quot;/&gt;&lt;wsp:rsid wsp:val=&quot;000B43FA&quot;/&gt;&lt;wsp:rsid wsp:val=&quot;000E46E1&quot;/&gt;&lt;wsp:rsid wsp:val=&quot;000F1D3E&quot;/&gt;&lt;wsp:rsid wsp:val=&quot;00192181&quot;/&gt;&lt;wsp:rsid wsp:val=&quot;001D3B6E&quot;/&gt;&lt;wsp:rsid wsp:val=&quot;00214039&quot;/&gt;&lt;wsp:rsid wsp:val=&quot;00214250&quot;/&gt;&lt;wsp:rsid wsp:val=&quot;00216ECF&quot;/&gt;&lt;wsp:rsid wsp:val=&quot;00235DDA&quot;/&gt;&lt;wsp:rsid wsp:val=&quot;002D69A0&quot;/&gt;&lt;wsp:rsid wsp:val=&quot;00365ADA&quot;/&gt;&lt;wsp:rsid wsp:val=&quot;00392108&quot;/&gt;&lt;wsp:rsid wsp:val=&quot;00453308&quot;/&gt;&lt;wsp:rsid wsp:val=&quot;00454890&quot;/&gt;&lt;wsp:rsid wsp:val=&quot;004903F6&quot;/&gt;&lt;wsp:rsid wsp:val=&quot;0049601E&quot;/&gt;&lt;wsp:rsid wsp:val=&quot;004C28B8&quot;/&gt;&lt;wsp:rsid wsp:val=&quot;004F558E&quot;/&gt;&lt;wsp:rsid wsp:val=&quot;00571EC6&quot;/&gt;&lt;wsp:rsid wsp:val=&quot;00660848&quot;/&gt;&lt;wsp:rsid wsp:val=&quot;00664257&quot;/&gt;&lt;wsp:rsid wsp:val=&quot;006762A7&quot;/&gt;&lt;wsp:rsid wsp:val=&quot;00687CC2&quot;/&gt;&lt;wsp:rsid wsp:val=&quot;006B5652&quot;/&gt;&lt;wsp:rsid wsp:val=&quot;006F177B&quot;/&gt;&lt;wsp:rsid wsp:val=&quot;007238AF&quot;/&gt;&lt;wsp:rsid wsp:val=&quot;00740097&quot;/&gt;&lt;wsp:rsid wsp:val=&quot;00765A3C&quot;/&gt;&lt;wsp:rsid wsp:val=&quot;007A39EE&quot;/&gt;&lt;wsp:rsid wsp:val=&quot;007B4469&quot;/&gt;&lt;wsp:rsid wsp:val=&quot;007C7CE3&quot;/&gt;&lt;wsp:rsid wsp:val=&quot;00850B5B&quot;/&gt;&lt;wsp:rsid wsp:val=&quot;00852C2A&quot;/&gt;&lt;wsp:rsid wsp:val=&quot;008D13E0&quot;/&gt;&lt;wsp:rsid wsp:val=&quot;0092075F&quot;/&gt;&lt;wsp:rsid wsp:val=&quot;009B4E7A&quot;/&gt;&lt;wsp:rsid wsp:val=&quot;009E2C97&quot;/&gt;&lt;wsp:rsid wsp:val=&quot;00A60095&quot;/&gt;&lt;wsp:rsid wsp:val=&quot;00AA389B&quot;/&gt;&lt;wsp:rsid wsp:val=&quot;00B1459A&quot;/&gt;&lt;wsp:rsid wsp:val=&quot;00C4099C&quot;/&gt;&lt;wsp:rsid wsp:val=&quot;00C4655E&quot;/&gt;&lt;wsp:rsid wsp:val=&quot;00CB51ED&quot;/&gt;&lt;wsp:rsid wsp:val=&quot;00CE0F26&quot;/&gt;&lt;wsp:rsid wsp:val=&quot;00D2592D&quot;/&gt;&lt;wsp:rsid wsp:val=&quot;00D31842&quot;/&gt;&lt;wsp:rsid wsp:val=&quot;00D61520&quot;/&gt;&lt;wsp:rsid wsp:val=&quot;00DC10AB&quot;/&gt;&lt;wsp:rsid wsp:val=&quot;00DE1EE8&quot;/&gt;&lt;wsp:rsid wsp:val=&quot;00E1517A&quot;/&gt;&lt;wsp:rsid wsp:val=&quot;00E83659&quot;/&gt;&lt;wsp:rsid wsp:val=&quot;00EB0706&quot;/&gt;&lt;wsp:rsid wsp:val=&quot;00EB3DD4&quot;/&gt;&lt;wsp:rsid wsp:val=&quot;00EF0A78&quot;/&gt;&lt;wsp:rsid wsp:val=&quot;00F07393&quot;/&gt;&lt;wsp:rsid wsp:val=&quot;00F30882&quot;/&gt;&lt;/wsp:rsids&gt;&lt;/w:docPr&gt;&lt;w:body&gt;&lt;wx:sect&gt;&lt;w:p wsp:rsidR=&quot;00000000&quot; wsp:rsidRDefault=&quot;00E1517A&quot; wsp:rsidP=&quot;00E1517A&quot;&gt;&lt;m:oMathPara&gt;&lt;m:oMath&gt;&lt;m:r&gt;&lt;aml:annotation aml:id=&quot;0&quot; w:type=&quot;Word.Insertion&quot; aml:author=&quot;鏍炬枌&quot; aml:createdate=&quot;2021-04-13T13:56:00Z&quot;&gt;&lt;aml:content&gt;&lt;m:rPr&gt;&lt;m:sty m:val=&quot;p&quot;/&gt;&lt;/m:rPr&gt;&lt;w:rPr&gt;&lt;w:rFonts w:ascii=&quot;Cambria dRDdRDdRDdRDdRDdRDdRDdRDdRDdRDdRDdRDdRDdRDdRDdRDdRDdRDdRDdRDdRDMath&quot; w:fareast=&quot;浠垮畫_GB2312&quot; w:h-ansi=&quot;Cambria Math&quot; w:cs=&quot;Cambria Math&quot;/&gt;&lt;wx:font wx:val=&quot;Cambria Math&quot;/&gt;&lt;w:kern w:val=&quot;0&quot;/&gt;&lt;w:sz w:val=&quot;24&quot;/&gt;&lt;/w:rPr&gt;&lt;m:t&gt;=&lt;/m:t&gt;&lt;/aml:content&gt;&lt;/aml:annotatiodRDn&gt;&lt;dRD/m:dRDr&gt;&lt;dRDm:fdRD&gt;&lt;mdRD:fPdRDr&gt;&lt;dRDm:cdRDtrldRDPr&gt;dRD&lt;amdRDl:adRDnnodRDtatdRDiondRD amdRDl:idRDd=&quot;dRD1&quot; dRDw:tdRDype=&quot;Word.Insertion&quot; aml:author=&quot;鏍炬枌&quot; aml:createdate=&quot;2021-04-13T13:56:00Z&quot;&gt;&lt;aml:content&gt;&lt;w:rPr&gt;&lt;w:rFonts w:ascii=&quot;Cambria Math&quot; w:fdRDareastdRD=&quot;浠垮m:dRD畫_GB2r&gt;&lt;dRD312&quot; wm:fdRD:h-ans&gt;&lt;mdRDi=&quot;Cam:fPdRDbria Mr&gt;&lt;dRDath&quot; wm:cdRD:cs=&quot;?trldRD畫浣?trlPr&gt;dRD w:hinPr&gt;&lt;amdRDt=&quot;far&lt;aml:adRDeast&quot;/l:annodRD&gt;&lt;wx:fnnotatdRDont wxtationdRD:val=&quot;ion amdRDCambri aml:idRDa Mathl:id=&quot;dRD&quot;/&gt;&lt;w:d=&quot;1&quot; dRDke:fdRDrn w1&quot; w:stdRDtdRD:val=&quot;0dRD&quot;/&gt;&lt;w:sz w:vRDal=&quot;24&quot;/&gt;&lt;/wRD:rPr&gt;&lt;/aml:cRDontent&gt;&lt;/amlRD:annotation&gt;RD&lt;/m:ctrlPr&gt;&lt;RD/m:fPr&gt;&lt;m:ndRDum&gt;&lt;m:r&gt;&lt;aml:annotation aml:id=&quot;2&quot; w:type=&quot;Word.Insertion&quot; aml:author=&quot;鏍炬RD枌&quot; aml:createddRDate=&quot;2021-04-13dRDT13:56:00Z&quot;&gt;&lt;amddRDRDl:content&gt;&lt;mdRD:rPdRDr&gt;&lt;m:stydRD m:val=dRD&quot;p&quot;/vRD&gt;&lt;/m:rPr&gt;&lt;wdRDwRD:rPr&gt;&lt;w:rFontscRD w:ascii=&quot;CamblRDria Math&quot; w:fa&gt;RDreast=&quot;浠垮畫_Pr&gt;&lt;RDGB2312&quot; w:h-anm:ndRDsi=&quot;Cambria Mataml:anh&quot; w:cs=&quot;Cambriaml:ida Math&quot;/&gt;&lt;wx:fope=&quot;Wont wx:val=&quot;Cambion&quot; aria Math&quot;/&gt;&lt;dRDw:ker鏍炬RDn w:va&lt;mdRDl=&quot;0&quot;/&gt;&lt;w:szdRD wtydRD:val=&quot;24&quot;/&gt;&lt;/w:rd&quot;/vRDRDPr&gt;&lt;m:t&gt;N&lt;/m:t&gt;RDwRD&lt;/adRDml:content&gt;tscRD&lt;/aml:adRDnnotatimblRDon&gt;&lt;/m:r&gt;&lt;/dRDm:nfa&gt;RDum&gt;&lt;m:den&gt;&lt;m:r&gt;dRD&lt;aRDml:annotation aml:idRD=&quot;3&quot; w:type=&quot;Word.Insanertion&quot; aml:author=&quot;?id牼鏂? aml:c&lt;dRDreatedatee=&quot;Wo=&quot;2021-0RD4-13T13:56:00on&quot; aZ&quot;&gt;&lt;RDaml:content&gt;&lt;m:rPr&gt;炬RvRDD&lt;m:sty m:val=&quot;p&quot;/&gt;&lt;/mwRDdRD:rPr&gt;&lt;w:rPr&gt;&lt;w:rFoncRDtsdRD w:ascii=&quot;CambrialRD MatdRDh&quot; w:fareast=&quot;?&gt;RD豢瀹媉l:adRDGB2312&quot; w:RD&lt;aRDh-ansi=&quot;Cam&gt;&lt;/dRDbria l:idRDMath&quot; w:cs=&quot;Camb:r&gt;dRDr.In&lt;dRDsania Math&quot;/&gt;&lt;wx:font wx-0RD:or=&quot;?idval=&quot;Cambria Mat&gt;&lt;RDh&quot;/&gt;&lt;w:ker=&quot;Won w:val=&quot;0&quot;vRD/&gt;&lt;w:sz w:val=&quot;n&quot; a24&quot;/&gt;&lt;wRD/w:rPr&gt;&lt;m:t&gt;C&lt;/m:t&gt;&lt;/炬RDncRDaml:content&gt;&lt;/aml:annotadalRDRDtion&gt;&lt;/m:r&gt;&lt;m:r&gt;&lt;aml:an?&gt;RDndRDotation aml:id=&quot;4&quot; w:typDdRDe=&quot;Word.Insertion&quot; aml:aDuDthor=&quot;鏍炬枌&quot; aml:createda-0RDte=nsandRD&quot;2021-04-13T13:56:&gt;&lt;RD00Z&quot;&gt;&lt;am&quot;?idldRD:content&gt;&lt;m:&quot;vRDrPr&gt;&lt;m:sty m:v=&quot;Woal=&quot;p&quot;/&gt;&lt;/&lt;wRDm:rPr&gt;&lt;w:rPr&gt;&lt;w:rFonn&quot; ats w:cRDascii=&quot;Cambria Math&quot; w:far炬RalRDDeast=&quot;浠垮畫_GB2312&quot; w:h-ano:an?&gt;RDtadRDsi=&quot;Cambria Math&quot; w:c aml:aDs=&quot; w:typD瀹?:anndRD浣? w:hint=&quot;da-0RDfareast&quot; aml:auD&quot;/&gt;&lt;wx: w:typdRD6:&gt;&lt;RDfont wx:val=&quot;浠垮ate=nsan畫_GB23t&gt;&lt;m:&quot;vRD12&quot;on&quot; aml:auth/&gt;&lt;w:kern w&quot;&gt;&lt;am&quot;&quot;/&gt;&lt;/&lt;wRD?id:val=&quot;0&quot;/&gt;&lt;w:sz w:vedate=dRDaats w:cRDl=&quot;24y m:v=&quot;Wo&quot;/&gt;&lt;/w:rPr&gt;&lt;m:t&gt;脳&lt;far炬RalRD/m:t&gt;Z&quot;&gt;&lt;amld aml:aDRDw:rFonn&quot; a&lt;/aml:contean?&gt;RDnt&gt;&lt;/aml:a-0RDannotation&gt;&lt;/m: w:far炬RDr&gt; w:typD&lt;m:r6:&gt;&lt;RD&gt;&lt;aml:annotation aml:id=&quot;5&quot;otadRD l:auDw:vRDtype=&quot;Word.Insertion&quot; aml:authanndRDor=sawRDn&quot;鏍炬枌&quot; aml:createdate=&quot;2021-04-:typdRD w:cRD13m&quot;?idT13:56:00Z&quot;&gt;&lt;aml:content&gt;&lt;l:aDm:rPr&gt;&lt;m:salRDtauthy v=&quot;Wom:val=&quot;p&quot;/&gt;&lt;/m:rP-0RDr&gt;&lt;w:rPr&gt;&lt;w:r?&gt;RDFonts w=dRD:asn&quot; acii=&quot;Camb&lt;RDria Math&quot; w:fareypDast=&quot;浠垮畫_amldRDGBfar炬uDw:vRDRD2312&quot; w:h-ansi=&quot;D l:auDCambria Math&quot; w:cs=r=sawRD&quot;CamotadRDbria Math&quot;/&gt;&lt;wxDor=san:font wx:val=&quot;C:cRDambria Ml:aDaanndRDth&quot;/&gt;&lt;w:kern w:va&quot;?idl=&quot;0&quot;/&gt;&lt;w:salRDz w:-0RDval=&quot;24&quot;/&gt;&lt;dRD/w:rPr&gt;&lt;m:t&gt;40%+C&lt;/=&quot;Wom:t&gt;&lt;?&gt;RD/b&lt;RDaml:content&gt;&lt;/aml:uthannotation&gt;&lt;/m:r&gt;&lt;m:rn&quot; eypDa&gt;&lt;aml:annotation aml:idRDd=&quot;6&quot; w:type=&quot;Word.Insertion&quot; aml:author=&quot;鏍炬RD枌&quot; aml:createdate=&quot;2021dRDsan:aDcRD-04-13T13:56:00Z&quot;&gt;&lt;aml:content&gt;&lt;m:rPr&gt;&lt;m:sty dRD0RDm:vlRD?idal=&quot;p&quot;/&gt;&lt;/m:rPr&gt;&lt;w:rPr&gt;&lt;w:rFonts w:ascii=&quot;&lt;RDCdRDa&gt;RDmbria&quot;Wo Math&quot; w:fareast=&quot;浠垮畫_GB2312&quot; w:eypDa&gt;h-ansml&quot; eypD:uthi=&quot;Cam:rn&quot; abria Math&quot; w:cs=&quot;瀹嬩?Insertio? w:hint=&quot;ford.Inserareast aml:an:aDidRD&quot;/&gt;.Insertio&lt;wx:fosancRDnt wx:val=&quot;浠垮畫_GB2021dRy dRD0RDDsan312&quot;/&gt;&lt;w:kern w:vatho=&quot;2dRDm:vlRD021dRDr=&quot;鏍炬RDl=ascii=&quot;&lt;RD&quot;0&quot;/&gt;&lt;w:sz w:y dRDm:v?idval=&quot;24&quot;/&gt;&lt;/i=&quot;CdRDa&gt;RDw:rPr&gt;&lt;m:t:eypDa&gt;&gt;?&gt;&lt;m:sty dRD?/m:t&gt;&lt;/aml:content&gt;RDambria&quot;Wo&lt;/ml&quot; eypDaml:sertioaan:aDnnotation&gt;&lt;/m:r&gt;&lt;m:r&gt;:ascii=&quot;CdRD&lt;aml:annotation amam:InserancRDRDrn&quot; al:id=&quot;7&quot; w:type=&quot;Word.Insertion&quot; aansml:uthml:author=&quot;鏍?D鎣lRDDsan枌&quot;Insertio aml:createdate=&quot;2021-04-13T13:56:00Z aml:idDa&gt;RD&quot;&gt;&lt;&gt;RDaml:c?idont21dRDent&gt;&lt;m:rPr&gt;&lt;m:sty m:val=&quot;p&quot;/&gt;&lt;/m:rP:aDr&gt;&lt;w:tiorPr&gt;&lt;w:rypDF鏍炬RDontia&quot;Woty dRDs w:ascii=&quot;Cambria Math&quot;ancRD w:fareasancRDt=&quot;浠垮畫_am:InserGB2312&quot; w:h-ansi=am:rn&quot; a&quot;ii=&quot;CdRor=&quot;鏍?DDCambria Math&quot; w鏍炬vlRD:cs=&quot;Cambria Math&quot;鏍炬Dsan/&gt;&lt;wx:font wx:valaml:idDa&gt;=&quot;Cambria ertioMnsml:uthD&quot;&gt;&lt;&gt;RDath&quot;/&gt;&gt;&lt;/m:rP:aD&lt;w:kern w:val=&quot;0&quot;/&gt;&lt;w:c?id:sz Pr&gt;&lt;w:tiow:val=&quot;24&quot;/&gt;&lt;/w:rPr&gt;&lt;m21dRD:t&gt;th&quot;ancRD6&lt;w:rypD0%&lt;/m:t:idRD&gt;&lt;/aml:content&gt;&lt;/amlasancRD:ann&quot;Wootation&gt;&lt;/m:r&gt;&lt;m:r&gt;&quot;鏍?D&lt;aml:dRDannotaertion aml:id=炬RD&quot;8&quot; w:type=&quot;Word.lRDInsertioan&quot; aml:author=&quot;&gt;鏍炬枌&quot;CdRD aml:crDsanerP:aDatedate=&quot;2021-04-13T13:56:0&lt;&gt;RD0Z&quot;&gt;&lt;aml:contrtioent&gt;&lt;:tiom:rPr&gt;&lt;m:sty m:v:uthancRDal=c?id&quot;p&quot;/&gt;&lt;/m:rPr&gt;&lt;w:rPr&gt;&lt;w:rFrypDonts w:ascii=&quot;1dRDCamncRDbria Math&quot; w:fare&quot;鏍?Dast=&quot;浠:idRnn&quot;WoD垮畫_GB2312&quot; w:h-annnotaersi=&quot;Cambria Mathamrd.lRDl:dRD&quot; w:chor=&quot;&gt;s=&quot;瀹嬩erP:aD綋&quot; w:hint=&quot;fareast&quot;Insertioa/&gt;&lt;ml:id=炬RDwx:crDsan:font wx:v6:0&lt;&gt;RDal=&quot;?t&gt;&lt;:tio豢:uthancRD瀹媉GB231=&quot;鏍炬枌&quot;CdRD2&quot;/&gt;&lt;w:kern w:val=&quot;0&quot;/&gt;&lt;&lt;aml:contrtiow:v:uthal=c?rPr&gt;&lt;w:r=&quot;1dh&quot; w:fare&quot;鏍?DRDCamncRDFrypDid:sz w:val=&quot;24&quot;/&gt;&lt;/w:rPr&gt;&lt;m:t&gt;脳&lt;/m:t&gt;&lt;/aml:contesty=&quot;瀹嬩erP:aD m:v:uthnt&gt;&lt;/aml&quot; w:chor=&quot;&gt;:an w:asciathamrd.lRDi=h-annnotaert=&quot;浠:idRnn&quot;Wo&quot;1dRDnotation&gt;&lt;/uthancRDm:r&gt;&lt;m:r&gt;&lt;aml:annotatio?t&gt;&lt;:tion aml:id=&quot;9&quot; w:typev6:0&lt;&gt;RD=&quot;Word.Insst=&quot;x:crDsan浠:idRD MathInser鏍?Dtioaaml:dRDertion&quot; aml:authocRDr=&quot;鏍炬枌&quot; aml:createdaterP:aDrFrypDe=&quot;2021-04-13T13:56:0l=c?id0Z&quot;&gt;&lt;aor=&quot;&gt;ml:content&gt;&lt;:id=trtio炬枌&quot;CdRDRDmrd.lRDm:rPr&gt;&lt;m:sty m:vthancRDal=&quot;p&quot;/&gt;&lt;/mnnotaer:rPr&gt;&lt;w:rPr&gt;&lt;w:rFonts &gt;&lt;:tiow:asciRnn&quot;Woi=&quot;Cambria Math&quot; w:=&quot;1dRD:0&lt;&gt;RDfareast=v:uter鏍?Dh&quot;浠垮畫_GB2312&quot; w:h-an&quot;x:crDsansi=&quot;CambrierP:aDauthocRDa Math&quot; w:cs=&quot;Cambria Mnsertioaath&quot;/&gt;&lt;wx:foFrypDnor=&quot;&gt;t wx:haml:dRDval=&quot;Cambria&quot;浠:idRD Math&quot;/&gt;&lt;l=ancRDc?idw:ker.lRDn w:val=&quot;0&quot;/&gt;&lt;w:sz w:val=&quot;24&quot;/&gt;&lt;/w:r=trtioPr:tio&gt;taer&lt;m:t&gt;0.5&lt;/m:t&gt;&lt;/aml:CdRDcontent&gt;&lt;/aml:a炬er鏍?DRDnnotatn0&lt;&gt;RDn&quot;Woion&gt;&lt;/m:r&gt;&lt;/m:aD:den&gt;&lt;/m:f&gt;&lt;/m:oMath&gt;&lt;/m:o&quot;1RDdRDMathPanara&gt;&lt;/w:p&gt;&lt;w:sectPr v:uthwsp:rsid&quot;&gt;R=&quot;00000000&quot;&gt;&lt;pDw:pgSoaz w:w=&quot;12240&quot;RD w:h=&quot;15840&quot;/&gt;&lt;w:pgMar wRD:Dtop=&quot;144d0&quot; w:right=&quot;1800&quot; w:Dbottom=&quot;144o0&quot; w:left=&quot;1800r&quot; w:heaoder=&quot;720&quot; w:footer=&quot;720&quot; w:gutter=D&quot;0&quot;/&gt;&lt;w:cols w:space=&quot;720&quot;/&gt;&lt;/w:sectPr&gt;&lt;/wx:sect&gt;&lt;/w:body&gt;&lt;/w:wordDocument&gt;">
            <v:path/>
            <v:fill on="f" focussize="0,0"/>
            <v:stroke on="f" joinstyle="miter"/>
            <v:imagedata r:id="rId11" chromakey="#FFFFFF" o:title=""/>
            <o:lock v:ext="edit" aspectratio="t"/>
            <w10:wrap type="none"/>
            <w10:anchorlock/>
          </v:shape>
        </w:pict>
      </w:r>
      <w:r>
        <w:rPr>
          <w:rFonts w:ascii="Times New Roman" w:hAnsi="Times New Roman" w:eastAsia="楷体"/>
          <w:sz w:val="21"/>
          <w:szCs w:val="21"/>
        </w:rPr>
        <w:instrText xml:space="preserve"> </w:instrText>
      </w:r>
      <w:r>
        <w:rPr>
          <w:rFonts w:ascii="Times New Roman" w:hAnsi="Times New Roman" w:eastAsia="楷体"/>
          <w:sz w:val="21"/>
          <w:szCs w:val="21"/>
        </w:rPr>
        <w:fldChar w:fldCharType="end"/>
      </w:r>
      <w:r>
        <w:rPr>
          <w:rFonts w:ascii="Times New Roman" w:hAnsi="Times New Roman" w:eastAsia="楷体"/>
          <w:sz w:val="21"/>
          <w:szCs w:val="21"/>
        </w:rPr>
        <w:t>。其中，分校（站）学生总数N，分校（站）教师总数C。按开放教育课程教学将教师分类为主讲教师数X和辅导教师数Y。主讲教师数X=C</w:t>
      </w:r>
      <w:r>
        <w:rPr>
          <w:rFonts w:ascii="楷体" w:hAnsi="楷体" w:eastAsia="楷体"/>
          <w:sz w:val="21"/>
          <w:szCs w:val="21"/>
        </w:rPr>
        <w:t>×</w:t>
      </w:r>
      <w:r>
        <w:rPr>
          <w:rFonts w:ascii="Times New Roman" w:hAnsi="Times New Roman" w:eastAsia="楷体"/>
          <w:sz w:val="21"/>
          <w:szCs w:val="21"/>
        </w:rPr>
        <w:t>40%，则Y=C</w:t>
      </w:r>
      <w:r>
        <w:rPr>
          <w:rFonts w:ascii="楷体" w:hAnsi="楷体" w:eastAsia="楷体"/>
          <w:sz w:val="21"/>
          <w:szCs w:val="21"/>
        </w:rPr>
        <w:t>×</w:t>
      </w:r>
      <w:r>
        <w:rPr>
          <w:rFonts w:ascii="Times New Roman" w:hAnsi="Times New Roman" w:eastAsia="楷体"/>
          <w:sz w:val="21"/>
          <w:szCs w:val="21"/>
        </w:rPr>
        <w:t>60%。辅导教师参照全日制教育外聘兼职教师按0.5折算为主讲教师数。</w:t>
      </w:r>
      <w:bookmarkEnd w:id="0"/>
    </w:p>
    <w:p>
      <w:pPr>
        <w:pStyle w:val="20"/>
        <w:widowControl w:val="0"/>
        <w:overflowPunct w:val="0"/>
        <w:spacing w:before="0" w:after="0"/>
        <w:ind w:firstLine="630" w:firstLineChars="300"/>
        <w:jc w:val="both"/>
        <w:rPr>
          <w:rFonts w:ascii="仿宋" w:hAnsi="仿宋" w:eastAsia="仿宋"/>
          <w:color w:val="000000"/>
          <w:sz w:val="21"/>
          <w:szCs w:val="21"/>
        </w:rPr>
      </w:pPr>
      <w:r>
        <w:rPr>
          <w:rFonts w:hint="eastAsia" w:ascii="Times New Roman" w:hAnsi="Times New Roman" w:eastAsia="楷体"/>
          <w:sz w:val="21"/>
          <w:szCs w:val="21"/>
        </w:rPr>
        <w:t>5</w:t>
      </w:r>
      <w:r>
        <w:rPr>
          <w:rFonts w:ascii="Times New Roman" w:hAnsi="Times New Roman" w:eastAsia="楷体"/>
          <w:sz w:val="21"/>
          <w:szCs w:val="21"/>
        </w:rPr>
        <w:t>.</w:t>
      </w:r>
      <w:r>
        <w:rPr>
          <w:rFonts w:hint="eastAsia" w:ascii="Times New Roman" w:hAnsi="Times New Roman"/>
          <w:sz w:val="20"/>
        </w:rPr>
        <w:t xml:space="preserve"> </w:t>
      </w:r>
      <w:r>
        <w:rPr>
          <w:rFonts w:hint="eastAsia" w:ascii="Times New Roman" w:hAnsi="Times New Roman" w:eastAsia="楷体"/>
          <w:sz w:val="21"/>
          <w:szCs w:val="21"/>
        </w:rPr>
        <w:t>星号★为核心指标。</w:t>
      </w:r>
    </w:p>
    <w:sectPr>
      <w:headerReference r:id="rId3" w:type="default"/>
      <w:footerReference r:id="rId5" w:type="default"/>
      <w:headerReference r:id="rId4" w:type="even"/>
      <w:footerReference r:id="rId6" w:type="even"/>
      <w:pgSz w:w="16838" w:h="11906" w:orient="landscape"/>
      <w:pgMar w:top="794" w:right="680" w:bottom="680" w:left="680" w:header="851" w:footer="1588" w:gutter="11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方正楷体简体">
    <w:altName w:val="微软雅黑"/>
    <w:panose1 w:val="00000000000000000000"/>
    <w:charset w:val="86"/>
    <w:family w:val="script"/>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lear" w:pos="4153"/>
        <w:tab w:val="clear" w:pos="8306"/>
      </w:tabs>
      <w:ind w:right="360" w:firstLine="360"/>
      <w:jc w:val="right"/>
    </w:pPr>
    <w:r>
      <w:rPr>
        <w:color w:val="000000"/>
        <w:kern w:val="0"/>
        <w:sz w:val="28"/>
        <w:szCs w:val="28"/>
      </w:rPr>
      <w:t>—</w:t>
    </w:r>
    <w:r>
      <w:rPr>
        <w:rFonts w:hint="eastAsia"/>
        <w:color w:val="000000"/>
        <w:w w:val="66"/>
        <w:kern w:val="0"/>
        <w:sz w:val="28"/>
        <w:szCs w:val="28"/>
      </w:rPr>
      <w:t>　</w:t>
    </w:r>
    <w:r>
      <w:rPr>
        <w:color w:val="000000"/>
        <w:kern w:val="0"/>
        <w:sz w:val="28"/>
        <w:szCs w:val="28"/>
      </w:rPr>
      <w:fldChar w:fldCharType="begin"/>
    </w:r>
    <w:r>
      <w:rPr>
        <w:color w:val="000000"/>
        <w:kern w:val="0"/>
        <w:sz w:val="28"/>
        <w:szCs w:val="28"/>
      </w:rPr>
      <w:instrText xml:space="preserve"> PAGE </w:instrText>
    </w:r>
    <w:r>
      <w:rPr>
        <w:color w:val="000000"/>
        <w:kern w:val="0"/>
        <w:sz w:val="28"/>
        <w:szCs w:val="28"/>
      </w:rPr>
      <w:fldChar w:fldCharType="separate"/>
    </w:r>
    <w:r>
      <w:rPr>
        <w:color w:val="000000"/>
        <w:kern w:val="0"/>
        <w:sz w:val="28"/>
        <w:szCs w:val="28"/>
      </w:rPr>
      <w:t>13</w:t>
    </w:r>
    <w:r>
      <w:rPr>
        <w:color w:val="000000"/>
        <w:kern w:val="0"/>
        <w:sz w:val="28"/>
        <w:szCs w:val="28"/>
      </w:rPr>
      <w:fldChar w:fldCharType="end"/>
    </w:r>
    <w:r>
      <w:rPr>
        <w:rFonts w:hint="eastAsia"/>
        <w:color w:val="000000"/>
        <w:w w:val="66"/>
        <w:kern w:val="0"/>
        <w:sz w:val="28"/>
        <w:szCs w:val="28"/>
      </w:rPr>
      <w:t>　</w:t>
    </w:r>
    <w:r>
      <w:rPr>
        <w:color w:val="000000"/>
        <w:kern w:val="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lear" w:pos="4153"/>
        <w:tab w:val="clear" w:pos="8306"/>
      </w:tabs>
      <w:ind w:right="360" w:firstLine="360"/>
      <w:rPr>
        <w:color w:val="000000"/>
      </w:rPr>
    </w:pPr>
    <w:r>
      <w:rPr>
        <w:color w:val="000000"/>
        <w:kern w:val="0"/>
        <w:sz w:val="28"/>
        <w:szCs w:val="28"/>
      </w:rPr>
      <w:t>—</w:t>
    </w:r>
    <w:r>
      <w:rPr>
        <w:rFonts w:hint="eastAsia"/>
        <w:color w:val="000000"/>
        <w:w w:val="66"/>
        <w:kern w:val="0"/>
        <w:sz w:val="28"/>
        <w:szCs w:val="28"/>
      </w:rPr>
      <w:t>　</w:t>
    </w:r>
    <w:r>
      <w:rPr>
        <w:color w:val="000000"/>
        <w:kern w:val="0"/>
        <w:sz w:val="28"/>
        <w:szCs w:val="28"/>
      </w:rPr>
      <w:fldChar w:fldCharType="begin"/>
    </w:r>
    <w:r>
      <w:rPr>
        <w:color w:val="000000"/>
        <w:kern w:val="0"/>
        <w:sz w:val="28"/>
        <w:szCs w:val="28"/>
      </w:rPr>
      <w:instrText xml:space="preserve"> PAGE </w:instrText>
    </w:r>
    <w:r>
      <w:rPr>
        <w:color w:val="000000"/>
        <w:kern w:val="0"/>
        <w:sz w:val="28"/>
        <w:szCs w:val="28"/>
      </w:rPr>
      <w:fldChar w:fldCharType="separate"/>
    </w:r>
    <w:r>
      <w:rPr>
        <w:color w:val="000000"/>
        <w:kern w:val="0"/>
        <w:sz w:val="28"/>
        <w:szCs w:val="28"/>
      </w:rPr>
      <w:t>12</w:t>
    </w:r>
    <w:r>
      <w:rPr>
        <w:color w:val="000000"/>
        <w:kern w:val="0"/>
        <w:sz w:val="28"/>
        <w:szCs w:val="28"/>
      </w:rPr>
      <w:fldChar w:fldCharType="end"/>
    </w:r>
    <w:r>
      <w:rPr>
        <w:rFonts w:hint="eastAsia"/>
        <w:color w:val="000000"/>
        <w:w w:val="66"/>
        <w:kern w:val="0"/>
        <w:sz w:val="28"/>
        <w:szCs w:val="28"/>
      </w:rPr>
      <w:t>　</w:t>
    </w:r>
    <w:r>
      <w:rPr>
        <w:color w:val="000000"/>
        <w:kern w:val="0"/>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tabs>
        <w:tab w:val="clear" w:pos="4153"/>
        <w:tab w:val="clear" w:pos="830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1NDMwNjQyMWIxYmY0NmViOWQ2YzU5ZDFmM2UxYjUifQ=="/>
    <w:docVar w:name="DocumentID" w:val="{A28E663C-8788-4B6E-B4C5-96E529695E42}"/>
    <w:docVar w:name="DocumentName" w:val="_iw21b_16173721"/>
  </w:docVars>
  <w:rsids>
    <w:rsidRoot w:val="00D364F0"/>
    <w:rsid w:val="000025AE"/>
    <w:rsid w:val="000079BC"/>
    <w:rsid w:val="00011ABD"/>
    <w:rsid w:val="000134A7"/>
    <w:rsid w:val="00013C37"/>
    <w:rsid w:val="00014FB2"/>
    <w:rsid w:val="00016090"/>
    <w:rsid w:val="00020B7A"/>
    <w:rsid w:val="00020DD7"/>
    <w:rsid w:val="000225F0"/>
    <w:rsid w:val="00023234"/>
    <w:rsid w:val="00025A72"/>
    <w:rsid w:val="00025E29"/>
    <w:rsid w:val="000270A1"/>
    <w:rsid w:val="0002780E"/>
    <w:rsid w:val="000279D9"/>
    <w:rsid w:val="0003082C"/>
    <w:rsid w:val="00034316"/>
    <w:rsid w:val="000357FE"/>
    <w:rsid w:val="000369DA"/>
    <w:rsid w:val="000410EC"/>
    <w:rsid w:val="00042102"/>
    <w:rsid w:val="00044B38"/>
    <w:rsid w:val="00046822"/>
    <w:rsid w:val="000501C9"/>
    <w:rsid w:val="000531FA"/>
    <w:rsid w:val="000533E0"/>
    <w:rsid w:val="00061494"/>
    <w:rsid w:val="0006213A"/>
    <w:rsid w:val="000709C4"/>
    <w:rsid w:val="00074CB1"/>
    <w:rsid w:val="000756BD"/>
    <w:rsid w:val="00075EE9"/>
    <w:rsid w:val="00077C1F"/>
    <w:rsid w:val="00082BC2"/>
    <w:rsid w:val="00084E56"/>
    <w:rsid w:val="0008691C"/>
    <w:rsid w:val="00086D9E"/>
    <w:rsid w:val="00093B95"/>
    <w:rsid w:val="00094514"/>
    <w:rsid w:val="00094676"/>
    <w:rsid w:val="00094C15"/>
    <w:rsid w:val="00095574"/>
    <w:rsid w:val="000A240E"/>
    <w:rsid w:val="000A3D60"/>
    <w:rsid w:val="000A5799"/>
    <w:rsid w:val="000A640C"/>
    <w:rsid w:val="000A700A"/>
    <w:rsid w:val="000B4A84"/>
    <w:rsid w:val="000B5608"/>
    <w:rsid w:val="000B69AF"/>
    <w:rsid w:val="000B6B25"/>
    <w:rsid w:val="000B7338"/>
    <w:rsid w:val="000C1A45"/>
    <w:rsid w:val="000C2305"/>
    <w:rsid w:val="000C33EE"/>
    <w:rsid w:val="000C3C87"/>
    <w:rsid w:val="000C4C52"/>
    <w:rsid w:val="000C559D"/>
    <w:rsid w:val="000C5E52"/>
    <w:rsid w:val="000C60F9"/>
    <w:rsid w:val="000D0F3C"/>
    <w:rsid w:val="000D3B6F"/>
    <w:rsid w:val="000D6017"/>
    <w:rsid w:val="000D65E2"/>
    <w:rsid w:val="000D66C7"/>
    <w:rsid w:val="000E0A0E"/>
    <w:rsid w:val="000E16F3"/>
    <w:rsid w:val="000E2A0D"/>
    <w:rsid w:val="000E35F5"/>
    <w:rsid w:val="000E3BF6"/>
    <w:rsid w:val="000E4F6B"/>
    <w:rsid w:val="000E68C4"/>
    <w:rsid w:val="000E6C41"/>
    <w:rsid w:val="000E7311"/>
    <w:rsid w:val="000F019E"/>
    <w:rsid w:val="000F29CB"/>
    <w:rsid w:val="000F3FAE"/>
    <w:rsid w:val="000F6515"/>
    <w:rsid w:val="001003B9"/>
    <w:rsid w:val="00101608"/>
    <w:rsid w:val="00102E3E"/>
    <w:rsid w:val="001033DC"/>
    <w:rsid w:val="00104282"/>
    <w:rsid w:val="00105109"/>
    <w:rsid w:val="00105557"/>
    <w:rsid w:val="00110CEC"/>
    <w:rsid w:val="001120B8"/>
    <w:rsid w:val="0011250B"/>
    <w:rsid w:val="00112762"/>
    <w:rsid w:val="00115277"/>
    <w:rsid w:val="001153D9"/>
    <w:rsid w:val="00115E9A"/>
    <w:rsid w:val="00116965"/>
    <w:rsid w:val="001173C1"/>
    <w:rsid w:val="00117A4B"/>
    <w:rsid w:val="001207A1"/>
    <w:rsid w:val="00120B1F"/>
    <w:rsid w:val="0012164C"/>
    <w:rsid w:val="00124BD2"/>
    <w:rsid w:val="00126DE1"/>
    <w:rsid w:val="00130895"/>
    <w:rsid w:val="00130CAC"/>
    <w:rsid w:val="0013219E"/>
    <w:rsid w:val="00133236"/>
    <w:rsid w:val="00133A6D"/>
    <w:rsid w:val="00133C04"/>
    <w:rsid w:val="00134828"/>
    <w:rsid w:val="001357BF"/>
    <w:rsid w:val="001370AC"/>
    <w:rsid w:val="0013754A"/>
    <w:rsid w:val="00137A9E"/>
    <w:rsid w:val="00137D16"/>
    <w:rsid w:val="001407CB"/>
    <w:rsid w:val="00141F69"/>
    <w:rsid w:val="0014321E"/>
    <w:rsid w:val="00143D11"/>
    <w:rsid w:val="00144CB0"/>
    <w:rsid w:val="00145036"/>
    <w:rsid w:val="001450F2"/>
    <w:rsid w:val="00145A7F"/>
    <w:rsid w:val="00145B14"/>
    <w:rsid w:val="001475B9"/>
    <w:rsid w:val="00152A5C"/>
    <w:rsid w:val="001531C6"/>
    <w:rsid w:val="0015349C"/>
    <w:rsid w:val="001565C9"/>
    <w:rsid w:val="001576F7"/>
    <w:rsid w:val="0016208A"/>
    <w:rsid w:val="001620C8"/>
    <w:rsid w:val="00162AE7"/>
    <w:rsid w:val="00165826"/>
    <w:rsid w:val="00167282"/>
    <w:rsid w:val="0016778C"/>
    <w:rsid w:val="00171A7E"/>
    <w:rsid w:val="00171C82"/>
    <w:rsid w:val="00172561"/>
    <w:rsid w:val="00173D49"/>
    <w:rsid w:val="00181336"/>
    <w:rsid w:val="00181F9D"/>
    <w:rsid w:val="001831C4"/>
    <w:rsid w:val="00185599"/>
    <w:rsid w:val="001857BF"/>
    <w:rsid w:val="001865D5"/>
    <w:rsid w:val="00187DBE"/>
    <w:rsid w:val="001918A3"/>
    <w:rsid w:val="001953AB"/>
    <w:rsid w:val="00195430"/>
    <w:rsid w:val="00196626"/>
    <w:rsid w:val="001A2916"/>
    <w:rsid w:val="001A5208"/>
    <w:rsid w:val="001A56E1"/>
    <w:rsid w:val="001A7111"/>
    <w:rsid w:val="001B0735"/>
    <w:rsid w:val="001B40FC"/>
    <w:rsid w:val="001B46B1"/>
    <w:rsid w:val="001B664D"/>
    <w:rsid w:val="001B7D7B"/>
    <w:rsid w:val="001C0F12"/>
    <w:rsid w:val="001C188F"/>
    <w:rsid w:val="001C3971"/>
    <w:rsid w:val="001C6C4E"/>
    <w:rsid w:val="001C6D47"/>
    <w:rsid w:val="001C7847"/>
    <w:rsid w:val="001D5E9A"/>
    <w:rsid w:val="001D74D5"/>
    <w:rsid w:val="001D7FE2"/>
    <w:rsid w:val="001E09E0"/>
    <w:rsid w:val="001E1DEE"/>
    <w:rsid w:val="001E1E03"/>
    <w:rsid w:val="001E2CAB"/>
    <w:rsid w:val="001E3EF5"/>
    <w:rsid w:val="001E44B3"/>
    <w:rsid w:val="001E6013"/>
    <w:rsid w:val="001E65F9"/>
    <w:rsid w:val="001E67A6"/>
    <w:rsid w:val="001E6852"/>
    <w:rsid w:val="001E6AEC"/>
    <w:rsid w:val="001E6EFE"/>
    <w:rsid w:val="001E74FE"/>
    <w:rsid w:val="001F1614"/>
    <w:rsid w:val="001F3232"/>
    <w:rsid w:val="001F3A2C"/>
    <w:rsid w:val="001F53C2"/>
    <w:rsid w:val="001F7C6E"/>
    <w:rsid w:val="001F7ED3"/>
    <w:rsid w:val="00203A11"/>
    <w:rsid w:val="00203B8C"/>
    <w:rsid w:val="00203CF4"/>
    <w:rsid w:val="002049EB"/>
    <w:rsid w:val="00206371"/>
    <w:rsid w:val="00207E0C"/>
    <w:rsid w:val="00212D62"/>
    <w:rsid w:val="002155CA"/>
    <w:rsid w:val="00215D20"/>
    <w:rsid w:val="00220083"/>
    <w:rsid w:val="00220CC0"/>
    <w:rsid w:val="0022252B"/>
    <w:rsid w:val="00223B9F"/>
    <w:rsid w:val="00224200"/>
    <w:rsid w:val="002274FB"/>
    <w:rsid w:val="00230FB2"/>
    <w:rsid w:val="002321D4"/>
    <w:rsid w:val="00232EDC"/>
    <w:rsid w:val="002344A5"/>
    <w:rsid w:val="00237353"/>
    <w:rsid w:val="0023765F"/>
    <w:rsid w:val="00240CBA"/>
    <w:rsid w:val="0024141E"/>
    <w:rsid w:val="0024254A"/>
    <w:rsid w:val="00247AB4"/>
    <w:rsid w:val="002515C9"/>
    <w:rsid w:val="002538D2"/>
    <w:rsid w:val="00256EEF"/>
    <w:rsid w:val="00257D04"/>
    <w:rsid w:val="00260373"/>
    <w:rsid w:val="00262184"/>
    <w:rsid w:val="0026221C"/>
    <w:rsid w:val="00263332"/>
    <w:rsid w:val="0026396F"/>
    <w:rsid w:val="00264230"/>
    <w:rsid w:val="002648C6"/>
    <w:rsid w:val="00264B63"/>
    <w:rsid w:val="00267714"/>
    <w:rsid w:val="00273E12"/>
    <w:rsid w:val="0027456E"/>
    <w:rsid w:val="00274811"/>
    <w:rsid w:val="0027638E"/>
    <w:rsid w:val="00280DBE"/>
    <w:rsid w:val="002823CD"/>
    <w:rsid w:val="002862A7"/>
    <w:rsid w:val="00287CAD"/>
    <w:rsid w:val="00290283"/>
    <w:rsid w:val="00290784"/>
    <w:rsid w:val="00290BDF"/>
    <w:rsid w:val="002922CD"/>
    <w:rsid w:val="00294946"/>
    <w:rsid w:val="00294E3A"/>
    <w:rsid w:val="00297DA5"/>
    <w:rsid w:val="002A0BB8"/>
    <w:rsid w:val="002A559E"/>
    <w:rsid w:val="002A7059"/>
    <w:rsid w:val="002A74AD"/>
    <w:rsid w:val="002B2B6D"/>
    <w:rsid w:val="002B5409"/>
    <w:rsid w:val="002B683D"/>
    <w:rsid w:val="002C2492"/>
    <w:rsid w:val="002C50AC"/>
    <w:rsid w:val="002C7F04"/>
    <w:rsid w:val="002D1006"/>
    <w:rsid w:val="002D1147"/>
    <w:rsid w:val="002D14DC"/>
    <w:rsid w:val="002D17AF"/>
    <w:rsid w:val="002D1A02"/>
    <w:rsid w:val="002D1F0B"/>
    <w:rsid w:val="002D390D"/>
    <w:rsid w:val="002D4D1D"/>
    <w:rsid w:val="002D794C"/>
    <w:rsid w:val="002D7BBC"/>
    <w:rsid w:val="002D7FEE"/>
    <w:rsid w:val="002E20B4"/>
    <w:rsid w:val="002E2907"/>
    <w:rsid w:val="002E3AFD"/>
    <w:rsid w:val="002E7FA9"/>
    <w:rsid w:val="002F1DEF"/>
    <w:rsid w:val="002F2A9B"/>
    <w:rsid w:val="002F2EE7"/>
    <w:rsid w:val="002F5EE4"/>
    <w:rsid w:val="002F6515"/>
    <w:rsid w:val="002F6BCB"/>
    <w:rsid w:val="002F7CF9"/>
    <w:rsid w:val="003001E0"/>
    <w:rsid w:val="00301A1D"/>
    <w:rsid w:val="00302E24"/>
    <w:rsid w:val="0030315F"/>
    <w:rsid w:val="00303340"/>
    <w:rsid w:val="00303D5E"/>
    <w:rsid w:val="00305293"/>
    <w:rsid w:val="00306791"/>
    <w:rsid w:val="003074BF"/>
    <w:rsid w:val="00307B21"/>
    <w:rsid w:val="003110FD"/>
    <w:rsid w:val="003128C4"/>
    <w:rsid w:val="00313108"/>
    <w:rsid w:val="003153CB"/>
    <w:rsid w:val="003173E7"/>
    <w:rsid w:val="00321B71"/>
    <w:rsid w:val="0032324A"/>
    <w:rsid w:val="00323C4C"/>
    <w:rsid w:val="0032446F"/>
    <w:rsid w:val="003261BA"/>
    <w:rsid w:val="003263BB"/>
    <w:rsid w:val="00326C8A"/>
    <w:rsid w:val="003304E2"/>
    <w:rsid w:val="00331523"/>
    <w:rsid w:val="003333F4"/>
    <w:rsid w:val="00335D07"/>
    <w:rsid w:val="00335E0F"/>
    <w:rsid w:val="00336E0D"/>
    <w:rsid w:val="003379CF"/>
    <w:rsid w:val="00337F84"/>
    <w:rsid w:val="003412ED"/>
    <w:rsid w:val="003416FC"/>
    <w:rsid w:val="00341B2F"/>
    <w:rsid w:val="003469D5"/>
    <w:rsid w:val="00347152"/>
    <w:rsid w:val="00347DEA"/>
    <w:rsid w:val="00350F98"/>
    <w:rsid w:val="00353D2F"/>
    <w:rsid w:val="00353F9A"/>
    <w:rsid w:val="00354EED"/>
    <w:rsid w:val="00356831"/>
    <w:rsid w:val="00357CAE"/>
    <w:rsid w:val="003607EA"/>
    <w:rsid w:val="0036119D"/>
    <w:rsid w:val="00361872"/>
    <w:rsid w:val="00363255"/>
    <w:rsid w:val="0036452D"/>
    <w:rsid w:val="00364A77"/>
    <w:rsid w:val="00365AE8"/>
    <w:rsid w:val="00365E70"/>
    <w:rsid w:val="003673D9"/>
    <w:rsid w:val="00367929"/>
    <w:rsid w:val="00367F28"/>
    <w:rsid w:val="00367FC4"/>
    <w:rsid w:val="00372575"/>
    <w:rsid w:val="0037308D"/>
    <w:rsid w:val="00373198"/>
    <w:rsid w:val="0037334B"/>
    <w:rsid w:val="00373420"/>
    <w:rsid w:val="00384A45"/>
    <w:rsid w:val="00385EFD"/>
    <w:rsid w:val="00386130"/>
    <w:rsid w:val="0038696A"/>
    <w:rsid w:val="00387F69"/>
    <w:rsid w:val="00390B71"/>
    <w:rsid w:val="003921AA"/>
    <w:rsid w:val="003923C4"/>
    <w:rsid w:val="00392518"/>
    <w:rsid w:val="003952D5"/>
    <w:rsid w:val="003955D6"/>
    <w:rsid w:val="00395CA6"/>
    <w:rsid w:val="003976CD"/>
    <w:rsid w:val="003976F9"/>
    <w:rsid w:val="003979BC"/>
    <w:rsid w:val="003A3A4B"/>
    <w:rsid w:val="003A4B08"/>
    <w:rsid w:val="003B07B6"/>
    <w:rsid w:val="003B09E9"/>
    <w:rsid w:val="003B64B8"/>
    <w:rsid w:val="003B6546"/>
    <w:rsid w:val="003B6A87"/>
    <w:rsid w:val="003B7BC5"/>
    <w:rsid w:val="003C1640"/>
    <w:rsid w:val="003C20C2"/>
    <w:rsid w:val="003C298E"/>
    <w:rsid w:val="003C3952"/>
    <w:rsid w:val="003C3C01"/>
    <w:rsid w:val="003C48B6"/>
    <w:rsid w:val="003C5CB9"/>
    <w:rsid w:val="003D0053"/>
    <w:rsid w:val="003D068A"/>
    <w:rsid w:val="003D0EEB"/>
    <w:rsid w:val="003D23B5"/>
    <w:rsid w:val="003E05C5"/>
    <w:rsid w:val="003E1CE1"/>
    <w:rsid w:val="003E2ADE"/>
    <w:rsid w:val="003E38AE"/>
    <w:rsid w:val="003E3965"/>
    <w:rsid w:val="003E537D"/>
    <w:rsid w:val="003F0CF3"/>
    <w:rsid w:val="003F1AD0"/>
    <w:rsid w:val="003F24B1"/>
    <w:rsid w:val="003F2EC8"/>
    <w:rsid w:val="003F438A"/>
    <w:rsid w:val="003F4DE7"/>
    <w:rsid w:val="00401359"/>
    <w:rsid w:val="00402394"/>
    <w:rsid w:val="0040494A"/>
    <w:rsid w:val="00404DC1"/>
    <w:rsid w:val="00406370"/>
    <w:rsid w:val="0040664F"/>
    <w:rsid w:val="00407481"/>
    <w:rsid w:val="00412CE9"/>
    <w:rsid w:val="004145C9"/>
    <w:rsid w:val="00420136"/>
    <w:rsid w:val="004201F7"/>
    <w:rsid w:val="004211E5"/>
    <w:rsid w:val="00421932"/>
    <w:rsid w:val="004239CA"/>
    <w:rsid w:val="00423FBF"/>
    <w:rsid w:val="00426255"/>
    <w:rsid w:val="0043308D"/>
    <w:rsid w:val="00434060"/>
    <w:rsid w:val="004367F3"/>
    <w:rsid w:val="00436C7B"/>
    <w:rsid w:val="00440177"/>
    <w:rsid w:val="0044058C"/>
    <w:rsid w:val="0044117F"/>
    <w:rsid w:val="00445273"/>
    <w:rsid w:val="00447043"/>
    <w:rsid w:val="004525DA"/>
    <w:rsid w:val="00453474"/>
    <w:rsid w:val="00453EB9"/>
    <w:rsid w:val="0045540A"/>
    <w:rsid w:val="00455506"/>
    <w:rsid w:val="00465403"/>
    <w:rsid w:val="00466304"/>
    <w:rsid w:val="00470F08"/>
    <w:rsid w:val="00471007"/>
    <w:rsid w:val="0047288D"/>
    <w:rsid w:val="00473E2F"/>
    <w:rsid w:val="004772E6"/>
    <w:rsid w:val="00483E69"/>
    <w:rsid w:val="00485D3A"/>
    <w:rsid w:val="00485FDD"/>
    <w:rsid w:val="00486A45"/>
    <w:rsid w:val="0048733B"/>
    <w:rsid w:val="00490331"/>
    <w:rsid w:val="00491AAC"/>
    <w:rsid w:val="0049260C"/>
    <w:rsid w:val="004938D8"/>
    <w:rsid w:val="00494EB5"/>
    <w:rsid w:val="0049570A"/>
    <w:rsid w:val="004959A4"/>
    <w:rsid w:val="00495D38"/>
    <w:rsid w:val="00496583"/>
    <w:rsid w:val="004A34AD"/>
    <w:rsid w:val="004A3B7D"/>
    <w:rsid w:val="004A4F87"/>
    <w:rsid w:val="004A50BC"/>
    <w:rsid w:val="004B0987"/>
    <w:rsid w:val="004B09DF"/>
    <w:rsid w:val="004B192A"/>
    <w:rsid w:val="004B3082"/>
    <w:rsid w:val="004B6E2D"/>
    <w:rsid w:val="004C0097"/>
    <w:rsid w:val="004C042E"/>
    <w:rsid w:val="004C0536"/>
    <w:rsid w:val="004C1267"/>
    <w:rsid w:val="004C23AF"/>
    <w:rsid w:val="004C416A"/>
    <w:rsid w:val="004C63A5"/>
    <w:rsid w:val="004C6ACA"/>
    <w:rsid w:val="004C7F50"/>
    <w:rsid w:val="004D008A"/>
    <w:rsid w:val="004D0C67"/>
    <w:rsid w:val="004D211E"/>
    <w:rsid w:val="004D6AF3"/>
    <w:rsid w:val="004E067F"/>
    <w:rsid w:val="004E0B0B"/>
    <w:rsid w:val="004E13DA"/>
    <w:rsid w:val="004E1D02"/>
    <w:rsid w:val="004E3E40"/>
    <w:rsid w:val="004E7D3E"/>
    <w:rsid w:val="004F084D"/>
    <w:rsid w:val="004F10DC"/>
    <w:rsid w:val="004F17CF"/>
    <w:rsid w:val="004F1BFD"/>
    <w:rsid w:val="004F42AA"/>
    <w:rsid w:val="004F47F8"/>
    <w:rsid w:val="004F49FA"/>
    <w:rsid w:val="004F6595"/>
    <w:rsid w:val="004F7222"/>
    <w:rsid w:val="004F7C3A"/>
    <w:rsid w:val="0050011A"/>
    <w:rsid w:val="00500314"/>
    <w:rsid w:val="0050040A"/>
    <w:rsid w:val="005048BC"/>
    <w:rsid w:val="0050762C"/>
    <w:rsid w:val="00513466"/>
    <w:rsid w:val="00513FC4"/>
    <w:rsid w:val="00516B99"/>
    <w:rsid w:val="005263EB"/>
    <w:rsid w:val="00531B6D"/>
    <w:rsid w:val="005355E9"/>
    <w:rsid w:val="005377BC"/>
    <w:rsid w:val="00537FE2"/>
    <w:rsid w:val="00541C36"/>
    <w:rsid w:val="00544EB8"/>
    <w:rsid w:val="005457B9"/>
    <w:rsid w:val="00552604"/>
    <w:rsid w:val="00552B2A"/>
    <w:rsid w:val="00552E11"/>
    <w:rsid w:val="0055531C"/>
    <w:rsid w:val="005556DA"/>
    <w:rsid w:val="005556DD"/>
    <w:rsid w:val="00556D35"/>
    <w:rsid w:val="0056089C"/>
    <w:rsid w:val="00561A24"/>
    <w:rsid w:val="00562C25"/>
    <w:rsid w:val="0056462B"/>
    <w:rsid w:val="005659B3"/>
    <w:rsid w:val="0057343A"/>
    <w:rsid w:val="0057366B"/>
    <w:rsid w:val="00574598"/>
    <w:rsid w:val="00576DA0"/>
    <w:rsid w:val="005771B5"/>
    <w:rsid w:val="005775FF"/>
    <w:rsid w:val="00577BAC"/>
    <w:rsid w:val="005810DE"/>
    <w:rsid w:val="00582020"/>
    <w:rsid w:val="00582A3D"/>
    <w:rsid w:val="00582F0B"/>
    <w:rsid w:val="00583B0C"/>
    <w:rsid w:val="00583CF7"/>
    <w:rsid w:val="00583FD9"/>
    <w:rsid w:val="00584BCF"/>
    <w:rsid w:val="00591EB0"/>
    <w:rsid w:val="005921D6"/>
    <w:rsid w:val="00592ABB"/>
    <w:rsid w:val="00593355"/>
    <w:rsid w:val="00596838"/>
    <w:rsid w:val="005978CE"/>
    <w:rsid w:val="005979E5"/>
    <w:rsid w:val="005A1273"/>
    <w:rsid w:val="005A1A96"/>
    <w:rsid w:val="005A301C"/>
    <w:rsid w:val="005A450B"/>
    <w:rsid w:val="005A458F"/>
    <w:rsid w:val="005A46AC"/>
    <w:rsid w:val="005A5562"/>
    <w:rsid w:val="005A5E2E"/>
    <w:rsid w:val="005A6822"/>
    <w:rsid w:val="005A6B44"/>
    <w:rsid w:val="005A7991"/>
    <w:rsid w:val="005B15D7"/>
    <w:rsid w:val="005B2293"/>
    <w:rsid w:val="005B32E3"/>
    <w:rsid w:val="005B4926"/>
    <w:rsid w:val="005B54CC"/>
    <w:rsid w:val="005B6265"/>
    <w:rsid w:val="005B6346"/>
    <w:rsid w:val="005B6AD4"/>
    <w:rsid w:val="005B72DA"/>
    <w:rsid w:val="005C27FE"/>
    <w:rsid w:val="005C3CD8"/>
    <w:rsid w:val="005C3D47"/>
    <w:rsid w:val="005C4EDC"/>
    <w:rsid w:val="005C5608"/>
    <w:rsid w:val="005D0611"/>
    <w:rsid w:val="005D110A"/>
    <w:rsid w:val="005D2189"/>
    <w:rsid w:val="005D2288"/>
    <w:rsid w:val="005D4422"/>
    <w:rsid w:val="005E0776"/>
    <w:rsid w:val="005E1A7B"/>
    <w:rsid w:val="005E41ED"/>
    <w:rsid w:val="005F07EB"/>
    <w:rsid w:val="005F1354"/>
    <w:rsid w:val="005F5AA0"/>
    <w:rsid w:val="005F5F08"/>
    <w:rsid w:val="00600365"/>
    <w:rsid w:val="006017CD"/>
    <w:rsid w:val="00604244"/>
    <w:rsid w:val="00604271"/>
    <w:rsid w:val="00605324"/>
    <w:rsid w:val="00605D74"/>
    <w:rsid w:val="00605E30"/>
    <w:rsid w:val="00607AC9"/>
    <w:rsid w:val="00611658"/>
    <w:rsid w:val="00611EE2"/>
    <w:rsid w:val="006138ED"/>
    <w:rsid w:val="00615DCF"/>
    <w:rsid w:val="00620440"/>
    <w:rsid w:val="0062124B"/>
    <w:rsid w:val="00621338"/>
    <w:rsid w:val="0062418F"/>
    <w:rsid w:val="006241B4"/>
    <w:rsid w:val="006250BE"/>
    <w:rsid w:val="00625588"/>
    <w:rsid w:val="00632066"/>
    <w:rsid w:val="006325FC"/>
    <w:rsid w:val="00633560"/>
    <w:rsid w:val="00635904"/>
    <w:rsid w:val="0063688A"/>
    <w:rsid w:val="00636EC7"/>
    <w:rsid w:val="0063786F"/>
    <w:rsid w:val="006418FE"/>
    <w:rsid w:val="00642D9E"/>
    <w:rsid w:val="0064537F"/>
    <w:rsid w:val="006465BE"/>
    <w:rsid w:val="00650251"/>
    <w:rsid w:val="00651175"/>
    <w:rsid w:val="00651478"/>
    <w:rsid w:val="0065222A"/>
    <w:rsid w:val="0065387C"/>
    <w:rsid w:val="00657189"/>
    <w:rsid w:val="00660F0D"/>
    <w:rsid w:val="006637EC"/>
    <w:rsid w:val="006652F2"/>
    <w:rsid w:val="0066639C"/>
    <w:rsid w:val="006673F3"/>
    <w:rsid w:val="00667A8A"/>
    <w:rsid w:val="006730BB"/>
    <w:rsid w:val="006739C2"/>
    <w:rsid w:val="00674A21"/>
    <w:rsid w:val="00675A7F"/>
    <w:rsid w:val="0068088A"/>
    <w:rsid w:val="00682E98"/>
    <w:rsid w:val="00683227"/>
    <w:rsid w:val="00686048"/>
    <w:rsid w:val="00686BA3"/>
    <w:rsid w:val="0069144E"/>
    <w:rsid w:val="006919E9"/>
    <w:rsid w:val="006930D7"/>
    <w:rsid w:val="006930EA"/>
    <w:rsid w:val="00694A5F"/>
    <w:rsid w:val="006A1778"/>
    <w:rsid w:val="006A24B6"/>
    <w:rsid w:val="006B2449"/>
    <w:rsid w:val="006B2834"/>
    <w:rsid w:val="006B30F8"/>
    <w:rsid w:val="006B3DDB"/>
    <w:rsid w:val="006B3E33"/>
    <w:rsid w:val="006C10D4"/>
    <w:rsid w:val="006C19B6"/>
    <w:rsid w:val="006C3EDF"/>
    <w:rsid w:val="006C454A"/>
    <w:rsid w:val="006C4726"/>
    <w:rsid w:val="006C47FA"/>
    <w:rsid w:val="006C60AD"/>
    <w:rsid w:val="006C73DD"/>
    <w:rsid w:val="006D0A19"/>
    <w:rsid w:val="006D114B"/>
    <w:rsid w:val="006D2E67"/>
    <w:rsid w:val="006D6AFC"/>
    <w:rsid w:val="006D6B93"/>
    <w:rsid w:val="006D751A"/>
    <w:rsid w:val="006D7865"/>
    <w:rsid w:val="006D7F10"/>
    <w:rsid w:val="006E28B4"/>
    <w:rsid w:val="006E3854"/>
    <w:rsid w:val="006E6874"/>
    <w:rsid w:val="006E6A44"/>
    <w:rsid w:val="006E7C56"/>
    <w:rsid w:val="006F29CE"/>
    <w:rsid w:val="006F2FAA"/>
    <w:rsid w:val="006F3F28"/>
    <w:rsid w:val="006F4B04"/>
    <w:rsid w:val="006F5C54"/>
    <w:rsid w:val="006F7651"/>
    <w:rsid w:val="006F7D57"/>
    <w:rsid w:val="00700688"/>
    <w:rsid w:val="00700DCE"/>
    <w:rsid w:val="00701135"/>
    <w:rsid w:val="00701CC0"/>
    <w:rsid w:val="0070525E"/>
    <w:rsid w:val="00705AB9"/>
    <w:rsid w:val="00706BBB"/>
    <w:rsid w:val="00706D4D"/>
    <w:rsid w:val="007114B3"/>
    <w:rsid w:val="007128BA"/>
    <w:rsid w:val="00714637"/>
    <w:rsid w:val="00715706"/>
    <w:rsid w:val="00716F72"/>
    <w:rsid w:val="007210F3"/>
    <w:rsid w:val="00730132"/>
    <w:rsid w:val="007309DF"/>
    <w:rsid w:val="00731363"/>
    <w:rsid w:val="00733418"/>
    <w:rsid w:val="00734782"/>
    <w:rsid w:val="00736A90"/>
    <w:rsid w:val="007375D3"/>
    <w:rsid w:val="00740125"/>
    <w:rsid w:val="00741D90"/>
    <w:rsid w:val="00742D00"/>
    <w:rsid w:val="007440D8"/>
    <w:rsid w:val="0074538B"/>
    <w:rsid w:val="00745C65"/>
    <w:rsid w:val="00746C10"/>
    <w:rsid w:val="00746DB9"/>
    <w:rsid w:val="0074743C"/>
    <w:rsid w:val="00750391"/>
    <w:rsid w:val="00750913"/>
    <w:rsid w:val="007572CD"/>
    <w:rsid w:val="00757590"/>
    <w:rsid w:val="00757EE8"/>
    <w:rsid w:val="00762001"/>
    <w:rsid w:val="00763802"/>
    <w:rsid w:val="0076423D"/>
    <w:rsid w:val="0076523B"/>
    <w:rsid w:val="007662A0"/>
    <w:rsid w:val="00766DAE"/>
    <w:rsid w:val="00766E70"/>
    <w:rsid w:val="00770813"/>
    <w:rsid w:val="00771145"/>
    <w:rsid w:val="00771A26"/>
    <w:rsid w:val="007731FE"/>
    <w:rsid w:val="0077361A"/>
    <w:rsid w:val="00773E33"/>
    <w:rsid w:val="007743A3"/>
    <w:rsid w:val="0077654F"/>
    <w:rsid w:val="00776C26"/>
    <w:rsid w:val="00777284"/>
    <w:rsid w:val="00780593"/>
    <w:rsid w:val="007829FD"/>
    <w:rsid w:val="00782FE0"/>
    <w:rsid w:val="00784886"/>
    <w:rsid w:val="00785263"/>
    <w:rsid w:val="007857A0"/>
    <w:rsid w:val="007861E5"/>
    <w:rsid w:val="00787AF0"/>
    <w:rsid w:val="00787DD0"/>
    <w:rsid w:val="00792805"/>
    <w:rsid w:val="00792DF5"/>
    <w:rsid w:val="00792DFE"/>
    <w:rsid w:val="00793F08"/>
    <w:rsid w:val="00794952"/>
    <w:rsid w:val="007949D9"/>
    <w:rsid w:val="00794A59"/>
    <w:rsid w:val="00796A28"/>
    <w:rsid w:val="00797C7E"/>
    <w:rsid w:val="007A28C3"/>
    <w:rsid w:val="007A5C44"/>
    <w:rsid w:val="007B0043"/>
    <w:rsid w:val="007B0732"/>
    <w:rsid w:val="007B0F19"/>
    <w:rsid w:val="007B1B1C"/>
    <w:rsid w:val="007B29DB"/>
    <w:rsid w:val="007B31E3"/>
    <w:rsid w:val="007B367F"/>
    <w:rsid w:val="007B394B"/>
    <w:rsid w:val="007B686F"/>
    <w:rsid w:val="007B6875"/>
    <w:rsid w:val="007B7381"/>
    <w:rsid w:val="007C17B9"/>
    <w:rsid w:val="007C1963"/>
    <w:rsid w:val="007C1AAB"/>
    <w:rsid w:val="007C1EA2"/>
    <w:rsid w:val="007C2D3E"/>
    <w:rsid w:val="007C4511"/>
    <w:rsid w:val="007C76E4"/>
    <w:rsid w:val="007D002E"/>
    <w:rsid w:val="007D1429"/>
    <w:rsid w:val="007D3738"/>
    <w:rsid w:val="007D3C5C"/>
    <w:rsid w:val="007E1541"/>
    <w:rsid w:val="007E1CAB"/>
    <w:rsid w:val="007E362A"/>
    <w:rsid w:val="007E5B3F"/>
    <w:rsid w:val="007E64A2"/>
    <w:rsid w:val="007F0A58"/>
    <w:rsid w:val="007F1BB6"/>
    <w:rsid w:val="007F1E62"/>
    <w:rsid w:val="007F2156"/>
    <w:rsid w:val="007F2C0A"/>
    <w:rsid w:val="007F52E3"/>
    <w:rsid w:val="008019F8"/>
    <w:rsid w:val="00802491"/>
    <w:rsid w:val="0080280E"/>
    <w:rsid w:val="008030F9"/>
    <w:rsid w:val="0081015F"/>
    <w:rsid w:val="008122CA"/>
    <w:rsid w:val="00812A67"/>
    <w:rsid w:val="00816509"/>
    <w:rsid w:val="008168A2"/>
    <w:rsid w:val="008169C4"/>
    <w:rsid w:val="00816E51"/>
    <w:rsid w:val="00817E8C"/>
    <w:rsid w:val="00820F1E"/>
    <w:rsid w:val="00821C2F"/>
    <w:rsid w:val="00822945"/>
    <w:rsid w:val="00824161"/>
    <w:rsid w:val="00832AA3"/>
    <w:rsid w:val="00832CF1"/>
    <w:rsid w:val="00834A74"/>
    <w:rsid w:val="00834F59"/>
    <w:rsid w:val="00837C5E"/>
    <w:rsid w:val="008401A5"/>
    <w:rsid w:val="008415F2"/>
    <w:rsid w:val="00841893"/>
    <w:rsid w:val="00842ABC"/>
    <w:rsid w:val="00843CA3"/>
    <w:rsid w:val="00846F31"/>
    <w:rsid w:val="00851E29"/>
    <w:rsid w:val="008520FC"/>
    <w:rsid w:val="008522EC"/>
    <w:rsid w:val="00852752"/>
    <w:rsid w:val="008527EC"/>
    <w:rsid w:val="00853C1A"/>
    <w:rsid w:val="00853E9B"/>
    <w:rsid w:val="00857352"/>
    <w:rsid w:val="008578D5"/>
    <w:rsid w:val="00861159"/>
    <w:rsid w:val="00861CFE"/>
    <w:rsid w:val="008628F8"/>
    <w:rsid w:val="00862E93"/>
    <w:rsid w:val="008637F9"/>
    <w:rsid w:val="008648BC"/>
    <w:rsid w:val="00865217"/>
    <w:rsid w:val="00870D19"/>
    <w:rsid w:val="0087236B"/>
    <w:rsid w:val="00873753"/>
    <w:rsid w:val="00874D08"/>
    <w:rsid w:val="00874EE6"/>
    <w:rsid w:val="00876071"/>
    <w:rsid w:val="008766C6"/>
    <w:rsid w:val="00883F6F"/>
    <w:rsid w:val="00884900"/>
    <w:rsid w:val="00884CEA"/>
    <w:rsid w:val="00885095"/>
    <w:rsid w:val="00886424"/>
    <w:rsid w:val="00887404"/>
    <w:rsid w:val="0088746B"/>
    <w:rsid w:val="00887ADF"/>
    <w:rsid w:val="00890F18"/>
    <w:rsid w:val="008914BB"/>
    <w:rsid w:val="00892717"/>
    <w:rsid w:val="0089346D"/>
    <w:rsid w:val="00893DF2"/>
    <w:rsid w:val="0089461F"/>
    <w:rsid w:val="008949B7"/>
    <w:rsid w:val="00895A39"/>
    <w:rsid w:val="00896263"/>
    <w:rsid w:val="008A6CF6"/>
    <w:rsid w:val="008A7003"/>
    <w:rsid w:val="008A795A"/>
    <w:rsid w:val="008A7D13"/>
    <w:rsid w:val="008B605C"/>
    <w:rsid w:val="008C1880"/>
    <w:rsid w:val="008C2C1C"/>
    <w:rsid w:val="008D12B2"/>
    <w:rsid w:val="008D3BE8"/>
    <w:rsid w:val="008E15E2"/>
    <w:rsid w:val="008E3172"/>
    <w:rsid w:val="008E5A9D"/>
    <w:rsid w:val="008E6801"/>
    <w:rsid w:val="008E7F0F"/>
    <w:rsid w:val="008E7F7F"/>
    <w:rsid w:val="008F1A96"/>
    <w:rsid w:val="008F307D"/>
    <w:rsid w:val="008F41C2"/>
    <w:rsid w:val="008F48F9"/>
    <w:rsid w:val="008F4E20"/>
    <w:rsid w:val="008F5B45"/>
    <w:rsid w:val="00900016"/>
    <w:rsid w:val="009010F9"/>
    <w:rsid w:val="0090577A"/>
    <w:rsid w:val="00906FC0"/>
    <w:rsid w:val="00907DFD"/>
    <w:rsid w:val="00911A9A"/>
    <w:rsid w:val="009126D1"/>
    <w:rsid w:val="00916594"/>
    <w:rsid w:val="0091744C"/>
    <w:rsid w:val="00920C78"/>
    <w:rsid w:val="009267C2"/>
    <w:rsid w:val="00926B2D"/>
    <w:rsid w:val="00926FEE"/>
    <w:rsid w:val="00931684"/>
    <w:rsid w:val="00931A7F"/>
    <w:rsid w:val="009333B4"/>
    <w:rsid w:val="009368A6"/>
    <w:rsid w:val="00937B04"/>
    <w:rsid w:val="00940171"/>
    <w:rsid w:val="00941B93"/>
    <w:rsid w:val="009439EA"/>
    <w:rsid w:val="0094467C"/>
    <w:rsid w:val="00944A0C"/>
    <w:rsid w:val="009458F7"/>
    <w:rsid w:val="00946288"/>
    <w:rsid w:val="0094631A"/>
    <w:rsid w:val="00946D6D"/>
    <w:rsid w:val="00947784"/>
    <w:rsid w:val="0095261A"/>
    <w:rsid w:val="00952E10"/>
    <w:rsid w:val="0095528D"/>
    <w:rsid w:val="0095692D"/>
    <w:rsid w:val="00956FBF"/>
    <w:rsid w:val="0095705E"/>
    <w:rsid w:val="0095785E"/>
    <w:rsid w:val="00960189"/>
    <w:rsid w:val="00960D02"/>
    <w:rsid w:val="009617B6"/>
    <w:rsid w:val="00961FDA"/>
    <w:rsid w:val="0096272A"/>
    <w:rsid w:val="0096467D"/>
    <w:rsid w:val="0096661D"/>
    <w:rsid w:val="0097007B"/>
    <w:rsid w:val="009704E8"/>
    <w:rsid w:val="00970C34"/>
    <w:rsid w:val="009729B6"/>
    <w:rsid w:val="00972E2F"/>
    <w:rsid w:val="00972E4C"/>
    <w:rsid w:val="009730A1"/>
    <w:rsid w:val="009733A0"/>
    <w:rsid w:val="009752C1"/>
    <w:rsid w:val="009762DB"/>
    <w:rsid w:val="009765F2"/>
    <w:rsid w:val="009768D8"/>
    <w:rsid w:val="00976BDA"/>
    <w:rsid w:val="00977024"/>
    <w:rsid w:val="009770E3"/>
    <w:rsid w:val="00977376"/>
    <w:rsid w:val="00982347"/>
    <w:rsid w:val="00983120"/>
    <w:rsid w:val="0098342B"/>
    <w:rsid w:val="0098617F"/>
    <w:rsid w:val="00986572"/>
    <w:rsid w:val="00986B70"/>
    <w:rsid w:val="00987528"/>
    <w:rsid w:val="0098753B"/>
    <w:rsid w:val="00991B45"/>
    <w:rsid w:val="00991FE5"/>
    <w:rsid w:val="00992114"/>
    <w:rsid w:val="00992637"/>
    <w:rsid w:val="00993CC2"/>
    <w:rsid w:val="009940DE"/>
    <w:rsid w:val="00995A44"/>
    <w:rsid w:val="00997355"/>
    <w:rsid w:val="00997846"/>
    <w:rsid w:val="00997951"/>
    <w:rsid w:val="009A03B5"/>
    <w:rsid w:val="009A0CD2"/>
    <w:rsid w:val="009A166B"/>
    <w:rsid w:val="009A1C44"/>
    <w:rsid w:val="009A2159"/>
    <w:rsid w:val="009A2C5A"/>
    <w:rsid w:val="009A42DC"/>
    <w:rsid w:val="009A63B1"/>
    <w:rsid w:val="009A6839"/>
    <w:rsid w:val="009B04F1"/>
    <w:rsid w:val="009B15F8"/>
    <w:rsid w:val="009B34E3"/>
    <w:rsid w:val="009B7E49"/>
    <w:rsid w:val="009C03D9"/>
    <w:rsid w:val="009C0768"/>
    <w:rsid w:val="009C1948"/>
    <w:rsid w:val="009C2426"/>
    <w:rsid w:val="009C3B2B"/>
    <w:rsid w:val="009C5997"/>
    <w:rsid w:val="009C6F31"/>
    <w:rsid w:val="009C735A"/>
    <w:rsid w:val="009D02D9"/>
    <w:rsid w:val="009D53A1"/>
    <w:rsid w:val="009E19B5"/>
    <w:rsid w:val="009E2B3D"/>
    <w:rsid w:val="009E3F2C"/>
    <w:rsid w:val="009E4C56"/>
    <w:rsid w:val="009F1177"/>
    <w:rsid w:val="009F11C4"/>
    <w:rsid w:val="009F23B4"/>
    <w:rsid w:val="00A05E03"/>
    <w:rsid w:val="00A0746F"/>
    <w:rsid w:val="00A07680"/>
    <w:rsid w:val="00A07D8A"/>
    <w:rsid w:val="00A10311"/>
    <w:rsid w:val="00A11310"/>
    <w:rsid w:val="00A12CC0"/>
    <w:rsid w:val="00A12DCD"/>
    <w:rsid w:val="00A17EB5"/>
    <w:rsid w:val="00A2226F"/>
    <w:rsid w:val="00A22A95"/>
    <w:rsid w:val="00A232AF"/>
    <w:rsid w:val="00A2349C"/>
    <w:rsid w:val="00A23A33"/>
    <w:rsid w:val="00A24E4D"/>
    <w:rsid w:val="00A25030"/>
    <w:rsid w:val="00A26B7F"/>
    <w:rsid w:val="00A27375"/>
    <w:rsid w:val="00A30FAE"/>
    <w:rsid w:val="00A31A72"/>
    <w:rsid w:val="00A344C9"/>
    <w:rsid w:val="00A34B9B"/>
    <w:rsid w:val="00A37B13"/>
    <w:rsid w:val="00A42573"/>
    <w:rsid w:val="00A42874"/>
    <w:rsid w:val="00A44981"/>
    <w:rsid w:val="00A46793"/>
    <w:rsid w:val="00A471B6"/>
    <w:rsid w:val="00A479D9"/>
    <w:rsid w:val="00A47AFD"/>
    <w:rsid w:val="00A5076C"/>
    <w:rsid w:val="00A51CE0"/>
    <w:rsid w:val="00A52051"/>
    <w:rsid w:val="00A52933"/>
    <w:rsid w:val="00A533CC"/>
    <w:rsid w:val="00A55483"/>
    <w:rsid w:val="00A5620B"/>
    <w:rsid w:val="00A56E9D"/>
    <w:rsid w:val="00A57EB7"/>
    <w:rsid w:val="00A60610"/>
    <w:rsid w:val="00A60795"/>
    <w:rsid w:val="00A61052"/>
    <w:rsid w:val="00A624D0"/>
    <w:rsid w:val="00A62C75"/>
    <w:rsid w:val="00A62F03"/>
    <w:rsid w:val="00A63B59"/>
    <w:rsid w:val="00A6445D"/>
    <w:rsid w:val="00A64816"/>
    <w:rsid w:val="00A64D58"/>
    <w:rsid w:val="00A657D1"/>
    <w:rsid w:val="00A742DA"/>
    <w:rsid w:val="00A74351"/>
    <w:rsid w:val="00A7763E"/>
    <w:rsid w:val="00A77FD6"/>
    <w:rsid w:val="00A8089E"/>
    <w:rsid w:val="00A814EC"/>
    <w:rsid w:val="00A820F3"/>
    <w:rsid w:val="00A82892"/>
    <w:rsid w:val="00A82F84"/>
    <w:rsid w:val="00A83992"/>
    <w:rsid w:val="00A83B36"/>
    <w:rsid w:val="00A85173"/>
    <w:rsid w:val="00A92CF8"/>
    <w:rsid w:val="00A95476"/>
    <w:rsid w:val="00AA06E4"/>
    <w:rsid w:val="00AA0EEE"/>
    <w:rsid w:val="00AA1A3D"/>
    <w:rsid w:val="00AA2781"/>
    <w:rsid w:val="00AA3AC9"/>
    <w:rsid w:val="00AA6F0C"/>
    <w:rsid w:val="00AB0D6E"/>
    <w:rsid w:val="00AB313F"/>
    <w:rsid w:val="00AB38C7"/>
    <w:rsid w:val="00AB4051"/>
    <w:rsid w:val="00AB4625"/>
    <w:rsid w:val="00AB4F51"/>
    <w:rsid w:val="00AB5734"/>
    <w:rsid w:val="00AB624B"/>
    <w:rsid w:val="00AB7ADB"/>
    <w:rsid w:val="00AC1AD3"/>
    <w:rsid w:val="00AC1F16"/>
    <w:rsid w:val="00AC2F54"/>
    <w:rsid w:val="00AC4834"/>
    <w:rsid w:val="00AC6011"/>
    <w:rsid w:val="00AD2353"/>
    <w:rsid w:val="00AD3211"/>
    <w:rsid w:val="00AD7A6A"/>
    <w:rsid w:val="00AD7C39"/>
    <w:rsid w:val="00AE2EA9"/>
    <w:rsid w:val="00AE4158"/>
    <w:rsid w:val="00AE4353"/>
    <w:rsid w:val="00AE5181"/>
    <w:rsid w:val="00AE5A8A"/>
    <w:rsid w:val="00AE7AE4"/>
    <w:rsid w:val="00AF1B86"/>
    <w:rsid w:val="00AF5608"/>
    <w:rsid w:val="00AF59DF"/>
    <w:rsid w:val="00AF5CDD"/>
    <w:rsid w:val="00AF6E8D"/>
    <w:rsid w:val="00AF7311"/>
    <w:rsid w:val="00B00AD6"/>
    <w:rsid w:val="00B01BA0"/>
    <w:rsid w:val="00B0427A"/>
    <w:rsid w:val="00B048D0"/>
    <w:rsid w:val="00B0630C"/>
    <w:rsid w:val="00B06AF8"/>
    <w:rsid w:val="00B07732"/>
    <w:rsid w:val="00B1158A"/>
    <w:rsid w:val="00B12BD4"/>
    <w:rsid w:val="00B13387"/>
    <w:rsid w:val="00B14741"/>
    <w:rsid w:val="00B151E6"/>
    <w:rsid w:val="00B1768C"/>
    <w:rsid w:val="00B21D95"/>
    <w:rsid w:val="00B22AF1"/>
    <w:rsid w:val="00B24006"/>
    <w:rsid w:val="00B248FD"/>
    <w:rsid w:val="00B2577F"/>
    <w:rsid w:val="00B26DAB"/>
    <w:rsid w:val="00B3283D"/>
    <w:rsid w:val="00B32F8B"/>
    <w:rsid w:val="00B336C9"/>
    <w:rsid w:val="00B36E83"/>
    <w:rsid w:val="00B37927"/>
    <w:rsid w:val="00B37EE0"/>
    <w:rsid w:val="00B409AC"/>
    <w:rsid w:val="00B42228"/>
    <w:rsid w:val="00B42587"/>
    <w:rsid w:val="00B43265"/>
    <w:rsid w:val="00B4432A"/>
    <w:rsid w:val="00B45F8D"/>
    <w:rsid w:val="00B469DD"/>
    <w:rsid w:val="00B477FA"/>
    <w:rsid w:val="00B50470"/>
    <w:rsid w:val="00B5168D"/>
    <w:rsid w:val="00B5178C"/>
    <w:rsid w:val="00B52F7C"/>
    <w:rsid w:val="00B551E1"/>
    <w:rsid w:val="00B57C68"/>
    <w:rsid w:val="00B60594"/>
    <w:rsid w:val="00B6198F"/>
    <w:rsid w:val="00B62E93"/>
    <w:rsid w:val="00B62F95"/>
    <w:rsid w:val="00B63B15"/>
    <w:rsid w:val="00B63CD1"/>
    <w:rsid w:val="00B65610"/>
    <w:rsid w:val="00B65773"/>
    <w:rsid w:val="00B661EA"/>
    <w:rsid w:val="00B6678A"/>
    <w:rsid w:val="00B74FEE"/>
    <w:rsid w:val="00B753BB"/>
    <w:rsid w:val="00B75A8D"/>
    <w:rsid w:val="00B82B44"/>
    <w:rsid w:val="00B86637"/>
    <w:rsid w:val="00B925C7"/>
    <w:rsid w:val="00B93C23"/>
    <w:rsid w:val="00B94BCE"/>
    <w:rsid w:val="00B955AD"/>
    <w:rsid w:val="00B95901"/>
    <w:rsid w:val="00B96292"/>
    <w:rsid w:val="00B973AC"/>
    <w:rsid w:val="00B979D7"/>
    <w:rsid w:val="00BA0785"/>
    <w:rsid w:val="00BA3415"/>
    <w:rsid w:val="00BA3CBC"/>
    <w:rsid w:val="00BB0339"/>
    <w:rsid w:val="00BB34FF"/>
    <w:rsid w:val="00BB4286"/>
    <w:rsid w:val="00BB629E"/>
    <w:rsid w:val="00BB7930"/>
    <w:rsid w:val="00BC2A7E"/>
    <w:rsid w:val="00BC2AE4"/>
    <w:rsid w:val="00BC40C3"/>
    <w:rsid w:val="00BD00AB"/>
    <w:rsid w:val="00BD1503"/>
    <w:rsid w:val="00BD210B"/>
    <w:rsid w:val="00BD32C0"/>
    <w:rsid w:val="00BD59F9"/>
    <w:rsid w:val="00BD70D9"/>
    <w:rsid w:val="00BD7E84"/>
    <w:rsid w:val="00BE0C8F"/>
    <w:rsid w:val="00BE0DED"/>
    <w:rsid w:val="00BE1F61"/>
    <w:rsid w:val="00BE2D24"/>
    <w:rsid w:val="00BE4889"/>
    <w:rsid w:val="00BE69F0"/>
    <w:rsid w:val="00BE70E7"/>
    <w:rsid w:val="00BF07C1"/>
    <w:rsid w:val="00BF3CD0"/>
    <w:rsid w:val="00BF532F"/>
    <w:rsid w:val="00BF5731"/>
    <w:rsid w:val="00BF68FB"/>
    <w:rsid w:val="00BF7C2E"/>
    <w:rsid w:val="00C045EC"/>
    <w:rsid w:val="00C058D6"/>
    <w:rsid w:val="00C10B36"/>
    <w:rsid w:val="00C135FD"/>
    <w:rsid w:val="00C13DFC"/>
    <w:rsid w:val="00C1604C"/>
    <w:rsid w:val="00C217B8"/>
    <w:rsid w:val="00C22343"/>
    <w:rsid w:val="00C232AD"/>
    <w:rsid w:val="00C2332A"/>
    <w:rsid w:val="00C264EC"/>
    <w:rsid w:val="00C2794D"/>
    <w:rsid w:val="00C3140F"/>
    <w:rsid w:val="00C31535"/>
    <w:rsid w:val="00C32CE9"/>
    <w:rsid w:val="00C3530E"/>
    <w:rsid w:val="00C35360"/>
    <w:rsid w:val="00C44E40"/>
    <w:rsid w:val="00C452F6"/>
    <w:rsid w:val="00C45920"/>
    <w:rsid w:val="00C47DA9"/>
    <w:rsid w:val="00C50AF3"/>
    <w:rsid w:val="00C50CDD"/>
    <w:rsid w:val="00C52E7C"/>
    <w:rsid w:val="00C53D99"/>
    <w:rsid w:val="00C554D3"/>
    <w:rsid w:val="00C57082"/>
    <w:rsid w:val="00C60E9B"/>
    <w:rsid w:val="00C61134"/>
    <w:rsid w:val="00C6146D"/>
    <w:rsid w:val="00C61849"/>
    <w:rsid w:val="00C63B12"/>
    <w:rsid w:val="00C703C5"/>
    <w:rsid w:val="00C7055F"/>
    <w:rsid w:val="00C70842"/>
    <w:rsid w:val="00C832E0"/>
    <w:rsid w:val="00C835C2"/>
    <w:rsid w:val="00C856FA"/>
    <w:rsid w:val="00C87457"/>
    <w:rsid w:val="00C908AF"/>
    <w:rsid w:val="00C912D0"/>
    <w:rsid w:val="00C91CDE"/>
    <w:rsid w:val="00C93D2A"/>
    <w:rsid w:val="00C96AD3"/>
    <w:rsid w:val="00CA003F"/>
    <w:rsid w:val="00CA12D0"/>
    <w:rsid w:val="00CA15A6"/>
    <w:rsid w:val="00CA2D78"/>
    <w:rsid w:val="00CA325D"/>
    <w:rsid w:val="00CA362D"/>
    <w:rsid w:val="00CA3DB4"/>
    <w:rsid w:val="00CA49FD"/>
    <w:rsid w:val="00CA79D4"/>
    <w:rsid w:val="00CB0CD4"/>
    <w:rsid w:val="00CB317D"/>
    <w:rsid w:val="00CB739A"/>
    <w:rsid w:val="00CB7FFC"/>
    <w:rsid w:val="00CC0DB7"/>
    <w:rsid w:val="00CC2191"/>
    <w:rsid w:val="00CC3C9D"/>
    <w:rsid w:val="00CC4265"/>
    <w:rsid w:val="00CC7D97"/>
    <w:rsid w:val="00CD0F3A"/>
    <w:rsid w:val="00CD10B9"/>
    <w:rsid w:val="00CD28AD"/>
    <w:rsid w:val="00CD4C76"/>
    <w:rsid w:val="00CD50A7"/>
    <w:rsid w:val="00CD615D"/>
    <w:rsid w:val="00CD6640"/>
    <w:rsid w:val="00CE019F"/>
    <w:rsid w:val="00CE0C16"/>
    <w:rsid w:val="00CE5BC5"/>
    <w:rsid w:val="00CE7813"/>
    <w:rsid w:val="00CF0336"/>
    <w:rsid w:val="00CF1377"/>
    <w:rsid w:val="00CF19F7"/>
    <w:rsid w:val="00CF4793"/>
    <w:rsid w:val="00CF6A49"/>
    <w:rsid w:val="00CF6C91"/>
    <w:rsid w:val="00D00929"/>
    <w:rsid w:val="00D01231"/>
    <w:rsid w:val="00D019A7"/>
    <w:rsid w:val="00D02433"/>
    <w:rsid w:val="00D0293B"/>
    <w:rsid w:val="00D02FC7"/>
    <w:rsid w:val="00D03952"/>
    <w:rsid w:val="00D03BD8"/>
    <w:rsid w:val="00D0627A"/>
    <w:rsid w:val="00D07A5D"/>
    <w:rsid w:val="00D11138"/>
    <w:rsid w:val="00D12527"/>
    <w:rsid w:val="00D134C0"/>
    <w:rsid w:val="00D14649"/>
    <w:rsid w:val="00D14F9B"/>
    <w:rsid w:val="00D15178"/>
    <w:rsid w:val="00D20B6C"/>
    <w:rsid w:val="00D219F3"/>
    <w:rsid w:val="00D23461"/>
    <w:rsid w:val="00D26BE9"/>
    <w:rsid w:val="00D26E42"/>
    <w:rsid w:val="00D2790E"/>
    <w:rsid w:val="00D30ABE"/>
    <w:rsid w:val="00D30ED7"/>
    <w:rsid w:val="00D31A65"/>
    <w:rsid w:val="00D33872"/>
    <w:rsid w:val="00D34D05"/>
    <w:rsid w:val="00D356C5"/>
    <w:rsid w:val="00D364F0"/>
    <w:rsid w:val="00D36596"/>
    <w:rsid w:val="00D3716C"/>
    <w:rsid w:val="00D41F22"/>
    <w:rsid w:val="00D425E7"/>
    <w:rsid w:val="00D42E47"/>
    <w:rsid w:val="00D465B4"/>
    <w:rsid w:val="00D51592"/>
    <w:rsid w:val="00D51860"/>
    <w:rsid w:val="00D551CA"/>
    <w:rsid w:val="00D5695B"/>
    <w:rsid w:val="00D56996"/>
    <w:rsid w:val="00D60F86"/>
    <w:rsid w:val="00D613FA"/>
    <w:rsid w:val="00D62527"/>
    <w:rsid w:val="00D650F5"/>
    <w:rsid w:val="00D65CEB"/>
    <w:rsid w:val="00D65D4F"/>
    <w:rsid w:val="00D665BA"/>
    <w:rsid w:val="00D667C4"/>
    <w:rsid w:val="00D737C5"/>
    <w:rsid w:val="00D737DB"/>
    <w:rsid w:val="00D74678"/>
    <w:rsid w:val="00D7469B"/>
    <w:rsid w:val="00D76304"/>
    <w:rsid w:val="00D84909"/>
    <w:rsid w:val="00D84FAA"/>
    <w:rsid w:val="00D872E9"/>
    <w:rsid w:val="00D87A8D"/>
    <w:rsid w:val="00D90E48"/>
    <w:rsid w:val="00D913A6"/>
    <w:rsid w:val="00D942F3"/>
    <w:rsid w:val="00D966E5"/>
    <w:rsid w:val="00D97401"/>
    <w:rsid w:val="00DA064C"/>
    <w:rsid w:val="00DA07F5"/>
    <w:rsid w:val="00DA1696"/>
    <w:rsid w:val="00DA1700"/>
    <w:rsid w:val="00DA3F3F"/>
    <w:rsid w:val="00DA4C2E"/>
    <w:rsid w:val="00DA4D1C"/>
    <w:rsid w:val="00DA6297"/>
    <w:rsid w:val="00DA68FD"/>
    <w:rsid w:val="00DA6E64"/>
    <w:rsid w:val="00DB20D4"/>
    <w:rsid w:val="00DB2F5D"/>
    <w:rsid w:val="00DB4915"/>
    <w:rsid w:val="00DB58B3"/>
    <w:rsid w:val="00DB660F"/>
    <w:rsid w:val="00DC0261"/>
    <w:rsid w:val="00DC0296"/>
    <w:rsid w:val="00DC3446"/>
    <w:rsid w:val="00DC3555"/>
    <w:rsid w:val="00DC6BF2"/>
    <w:rsid w:val="00DC6F6F"/>
    <w:rsid w:val="00DD10C1"/>
    <w:rsid w:val="00DD12AB"/>
    <w:rsid w:val="00DD12BD"/>
    <w:rsid w:val="00DD133A"/>
    <w:rsid w:val="00DD4073"/>
    <w:rsid w:val="00DD442D"/>
    <w:rsid w:val="00DD4967"/>
    <w:rsid w:val="00DD53DD"/>
    <w:rsid w:val="00DD75A9"/>
    <w:rsid w:val="00DD7BB3"/>
    <w:rsid w:val="00DD7F15"/>
    <w:rsid w:val="00DE1E1B"/>
    <w:rsid w:val="00DE317F"/>
    <w:rsid w:val="00DE3E30"/>
    <w:rsid w:val="00DE4BEC"/>
    <w:rsid w:val="00DE4C1F"/>
    <w:rsid w:val="00DE5AB4"/>
    <w:rsid w:val="00DE6151"/>
    <w:rsid w:val="00DE620A"/>
    <w:rsid w:val="00DF0259"/>
    <w:rsid w:val="00DF0324"/>
    <w:rsid w:val="00DF1498"/>
    <w:rsid w:val="00DF2702"/>
    <w:rsid w:val="00DF50E0"/>
    <w:rsid w:val="00DF6717"/>
    <w:rsid w:val="00E00782"/>
    <w:rsid w:val="00E00E6F"/>
    <w:rsid w:val="00E0108A"/>
    <w:rsid w:val="00E03F72"/>
    <w:rsid w:val="00E0445F"/>
    <w:rsid w:val="00E05582"/>
    <w:rsid w:val="00E06AD1"/>
    <w:rsid w:val="00E0701D"/>
    <w:rsid w:val="00E077C8"/>
    <w:rsid w:val="00E10880"/>
    <w:rsid w:val="00E1124C"/>
    <w:rsid w:val="00E12C06"/>
    <w:rsid w:val="00E1303E"/>
    <w:rsid w:val="00E141FD"/>
    <w:rsid w:val="00E14B87"/>
    <w:rsid w:val="00E159B5"/>
    <w:rsid w:val="00E17528"/>
    <w:rsid w:val="00E2049D"/>
    <w:rsid w:val="00E22C1F"/>
    <w:rsid w:val="00E2487E"/>
    <w:rsid w:val="00E26792"/>
    <w:rsid w:val="00E270CE"/>
    <w:rsid w:val="00E31A93"/>
    <w:rsid w:val="00E31E5B"/>
    <w:rsid w:val="00E31EC0"/>
    <w:rsid w:val="00E32105"/>
    <w:rsid w:val="00E32B93"/>
    <w:rsid w:val="00E3307B"/>
    <w:rsid w:val="00E371CA"/>
    <w:rsid w:val="00E421C8"/>
    <w:rsid w:val="00E42266"/>
    <w:rsid w:val="00E42FFA"/>
    <w:rsid w:val="00E43A83"/>
    <w:rsid w:val="00E440BF"/>
    <w:rsid w:val="00E4498B"/>
    <w:rsid w:val="00E47816"/>
    <w:rsid w:val="00E47993"/>
    <w:rsid w:val="00E47C80"/>
    <w:rsid w:val="00E501FE"/>
    <w:rsid w:val="00E519EC"/>
    <w:rsid w:val="00E55475"/>
    <w:rsid w:val="00E561DC"/>
    <w:rsid w:val="00E5784D"/>
    <w:rsid w:val="00E57BB5"/>
    <w:rsid w:val="00E60D95"/>
    <w:rsid w:val="00E61FA8"/>
    <w:rsid w:val="00E65A4E"/>
    <w:rsid w:val="00E67344"/>
    <w:rsid w:val="00E677EA"/>
    <w:rsid w:val="00E679B7"/>
    <w:rsid w:val="00E707CA"/>
    <w:rsid w:val="00E71E97"/>
    <w:rsid w:val="00E74640"/>
    <w:rsid w:val="00E74E10"/>
    <w:rsid w:val="00E752EF"/>
    <w:rsid w:val="00E75477"/>
    <w:rsid w:val="00E7573C"/>
    <w:rsid w:val="00E768FB"/>
    <w:rsid w:val="00E818DB"/>
    <w:rsid w:val="00E81B34"/>
    <w:rsid w:val="00E82DFE"/>
    <w:rsid w:val="00E83256"/>
    <w:rsid w:val="00E838DB"/>
    <w:rsid w:val="00E83A42"/>
    <w:rsid w:val="00E84501"/>
    <w:rsid w:val="00E84D43"/>
    <w:rsid w:val="00E90CDB"/>
    <w:rsid w:val="00E97B06"/>
    <w:rsid w:val="00E97D8D"/>
    <w:rsid w:val="00EA438E"/>
    <w:rsid w:val="00EA45B3"/>
    <w:rsid w:val="00EA4E51"/>
    <w:rsid w:val="00EA547B"/>
    <w:rsid w:val="00EA64C7"/>
    <w:rsid w:val="00EA79CE"/>
    <w:rsid w:val="00EB110C"/>
    <w:rsid w:val="00EB3226"/>
    <w:rsid w:val="00EB5E51"/>
    <w:rsid w:val="00EB7F5E"/>
    <w:rsid w:val="00EC3640"/>
    <w:rsid w:val="00EC4D50"/>
    <w:rsid w:val="00EC4EB1"/>
    <w:rsid w:val="00EC52F1"/>
    <w:rsid w:val="00EC5BCE"/>
    <w:rsid w:val="00ED0193"/>
    <w:rsid w:val="00ED0269"/>
    <w:rsid w:val="00ED119B"/>
    <w:rsid w:val="00ED18CC"/>
    <w:rsid w:val="00ED6DA6"/>
    <w:rsid w:val="00ED6F9B"/>
    <w:rsid w:val="00EE02B9"/>
    <w:rsid w:val="00EE3C80"/>
    <w:rsid w:val="00EE48CF"/>
    <w:rsid w:val="00EE5E65"/>
    <w:rsid w:val="00EE6431"/>
    <w:rsid w:val="00EF1179"/>
    <w:rsid w:val="00EF3591"/>
    <w:rsid w:val="00EF5592"/>
    <w:rsid w:val="00EF79D4"/>
    <w:rsid w:val="00F04446"/>
    <w:rsid w:val="00F05043"/>
    <w:rsid w:val="00F0679A"/>
    <w:rsid w:val="00F068D4"/>
    <w:rsid w:val="00F072A8"/>
    <w:rsid w:val="00F079C1"/>
    <w:rsid w:val="00F154A4"/>
    <w:rsid w:val="00F17282"/>
    <w:rsid w:val="00F21513"/>
    <w:rsid w:val="00F21B31"/>
    <w:rsid w:val="00F226BF"/>
    <w:rsid w:val="00F22AD5"/>
    <w:rsid w:val="00F24C0A"/>
    <w:rsid w:val="00F24D5E"/>
    <w:rsid w:val="00F24F77"/>
    <w:rsid w:val="00F256C6"/>
    <w:rsid w:val="00F25AA6"/>
    <w:rsid w:val="00F27C41"/>
    <w:rsid w:val="00F3107E"/>
    <w:rsid w:val="00F33A51"/>
    <w:rsid w:val="00F345DA"/>
    <w:rsid w:val="00F34A3B"/>
    <w:rsid w:val="00F34F6B"/>
    <w:rsid w:val="00F3755F"/>
    <w:rsid w:val="00F37936"/>
    <w:rsid w:val="00F41721"/>
    <w:rsid w:val="00F43373"/>
    <w:rsid w:val="00F43712"/>
    <w:rsid w:val="00F452C1"/>
    <w:rsid w:val="00F470E9"/>
    <w:rsid w:val="00F509B2"/>
    <w:rsid w:val="00F50E50"/>
    <w:rsid w:val="00F54533"/>
    <w:rsid w:val="00F54898"/>
    <w:rsid w:val="00F568DF"/>
    <w:rsid w:val="00F56B66"/>
    <w:rsid w:val="00F57250"/>
    <w:rsid w:val="00F6117F"/>
    <w:rsid w:val="00F6139E"/>
    <w:rsid w:val="00F6544A"/>
    <w:rsid w:val="00F67B52"/>
    <w:rsid w:val="00F70FE9"/>
    <w:rsid w:val="00F71CE1"/>
    <w:rsid w:val="00F721A9"/>
    <w:rsid w:val="00F72ED5"/>
    <w:rsid w:val="00F749C9"/>
    <w:rsid w:val="00F75D5E"/>
    <w:rsid w:val="00F75E41"/>
    <w:rsid w:val="00F77AA5"/>
    <w:rsid w:val="00F80DBB"/>
    <w:rsid w:val="00F818A1"/>
    <w:rsid w:val="00F831A0"/>
    <w:rsid w:val="00F85697"/>
    <w:rsid w:val="00F85BAF"/>
    <w:rsid w:val="00F92901"/>
    <w:rsid w:val="00F93980"/>
    <w:rsid w:val="00F945D3"/>
    <w:rsid w:val="00F9601A"/>
    <w:rsid w:val="00F9775A"/>
    <w:rsid w:val="00FA0F84"/>
    <w:rsid w:val="00FA2093"/>
    <w:rsid w:val="00FA6AFB"/>
    <w:rsid w:val="00FA7FAD"/>
    <w:rsid w:val="00FB0A9B"/>
    <w:rsid w:val="00FB63A9"/>
    <w:rsid w:val="00FB63BF"/>
    <w:rsid w:val="00FC1A1A"/>
    <w:rsid w:val="00FC3204"/>
    <w:rsid w:val="00FC3B69"/>
    <w:rsid w:val="00FC46C0"/>
    <w:rsid w:val="00FC4FC4"/>
    <w:rsid w:val="00FC71D6"/>
    <w:rsid w:val="00FD1429"/>
    <w:rsid w:val="00FD369B"/>
    <w:rsid w:val="00FD4B99"/>
    <w:rsid w:val="00FD5FCC"/>
    <w:rsid w:val="00FD725B"/>
    <w:rsid w:val="00FD7E20"/>
    <w:rsid w:val="00FE1697"/>
    <w:rsid w:val="00FE329C"/>
    <w:rsid w:val="00FE3A50"/>
    <w:rsid w:val="00FE410A"/>
    <w:rsid w:val="00FE41B5"/>
    <w:rsid w:val="00FE6D5B"/>
    <w:rsid w:val="00FE7750"/>
    <w:rsid w:val="00FF0DA6"/>
    <w:rsid w:val="00FF0FC1"/>
    <w:rsid w:val="00FF4FEA"/>
    <w:rsid w:val="00FF69CD"/>
    <w:rsid w:val="013A700E"/>
    <w:rsid w:val="182E1E89"/>
    <w:rsid w:val="1CD53B2C"/>
    <w:rsid w:val="2B931EB8"/>
    <w:rsid w:val="34842877"/>
    <w:rsid w:val="4C9F51E5"/>
    <w:rsid w:val="5CBA4DB8"/>
    <w:rsid w:val="73071BFD"/>
    <w:rsid w:val="7A0B1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qFormat="1" w:unhideWhenUsed="0" w:uiPriority="0" w:semiHidden="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qFormat/>
    <w:uiPriority w:val="0"/>
    <w:pPr>
      <w:widowControl/>
      <w:spacing w:before="100" w:beforeAutospacing="1" w:after="100" w:afterAutospacing="1"/>
      <w:jc w:val="left"/>
      <w:outlineLvl w:val="3"/>
    </w:pPr>
    <w:rPr>
      <w:rFonts w:ascii="宋体" w:hAnsi="宋体" w:cs="宋体"/>
      <w:b/>
      <w:bCs/>
      <w:kern w:val="0"/>
      <w:sz w:val="24"/>
    </w:rPr>
  </w:style>
  <w:style w:type="character" w:default="1" w:styleId="26">
    <w:name w:val="Default Paragraph Font"/>
    <w:semiHidden/>
    <w:unhideWhenUsed/>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6">
    <w:name w:val="List 3"/>
    <w:basedOn w:val="1"/>
    <w:autoRedefine/>
    <w:uiPriority w:val="0"/>
    <w:pPr>
      <w:ind w:left="100" w:leftChars="400" w:hanging="200" w:hangingChars="200"/>
    </w:pPr>
    <w:rPr>
      <w:szCs w:val="20"/>
    </w:rPr>
  </w:style>
  <w:style w:type="paragraph" w:styleId="7">
    <w:name w:val="Normal Indent"/>
    <w:basedOn w:val="1"/>
    <w:uiPriority w:val="0"/>
    <w:pPr>
      <w:ind w:firstLine="420" w:firstLineChars="200"/>
    </w:pPr>
    <w:rPr>
      <w:szCs w:val="21"/>
    </w:rPr>
  </w:style>
  <w:style w:type="paragraph" w:styleId="8">
    <w:name w:val="Body Text"/>
    <w:basedOn w:val="1"/>
    <w:link w:val="42"/>
    <w:autoRedefine/>
    <w:qFormat/>
    <w:uiPriority w:val="0"/>
    <w:pPr>
      <w:autoSpaceDE w:val="0"/>
      <w:autoSpaceDN w:val="0"/>
      <w:adjustRightInd w:val="0"/>
      <w:spacing w:line="440" w:lineRule="exact"/>
      <w:jc w:val="left"/>
    </w:pPr>
    <w:rPr>
      <w:rFonts w:ascii="宋体"/>
      <w:kern w:val="0"/>
      <w:sz w:val="28"/>
      <w:szCs w:val="20"/>
      <w:lang w:val="zh-CN"/>
    </w:rPr>
  </w:style>
  <w:style w:type="paragraph" w:styleId="9">
    <w:name w:val="Body Text Indent"/>
    <w:basedOn w:val="1"/>
    <w:link w:val="50"/>
    <w:autoRedefine/>
    <w:qFormat/>
    <w:uiPriority w:val="0"/>
    <w:pPr>
      <w:spacing w:after="120"/>
      <w:ind w:left="420"/>
    </w:pPr>
  </w:style>
  <w:style w:type="paragraph" w:styleId="10">
    <w:name w:val="List 2"/>
    <w:basedOn w:val="1"/>
    <w:uiPriority w:val="0"/>
    <w:pPr>
      <w:ind w:left="100" w:leftChars="200" w:hanging="200" w:hangingChars="200"/>
    </w:pPr>
    <w:rPr>
      <w:szCs w:val="20"/>
    </w:rPr>
  </w:style>
  <w:style w:type="paragraph" w:styleId="11">
    <w:name w:val="Plain Text"/>
    <w:basedOn w:val="1"/>
    <w:link w:val="45"/>
    <w:autoRedefine/>
    <w:qFormat/>
    <w:uiPriority w:val="0"/>
    <w:rPr>
      <w:rFonts w:ascii="宋体" w:hAnsi="Courier New"/>
      <w:szCs w:val="20"/>
    </w:rPr>
  </w:style>
  <w:style w:type="paragraph" w:styleId="12">
    <w:name w:val="Date"/>
    <w:basedOn w:val="1"/>
    <w:next w:val="1"/>
    <w:uiPriority w:val="0"/>
    <w:rPr>
      <w:rFonts w:ascii="仿宋_GB2312" w:eastAsia="仿宋_GB2312"/>
      <w:sz w:val="30"/>
      <w:szCs w:val="20"/>
    </w:rPr>
  </w:style>
  <w:style w:type="paragraph" w:styleId="13">
    <w:name w:val="Body Text Indent 2"/>
    <w:basedOn w:val="1"/>
    <w:autoRedefine/>
    <w:uiPriority w:val="0"/>
    <w:pPr>
      <w:widowControl/>
      <w:spacing w:before="100" w:beforeAutospacing="1" w:after="100" w:afterAutospacing="1"/>
      <w:jc w:val="left"/>
    </w:pPr>
    <w:rPr>
      <w:rFonts w:ascii="宋体" w:hAnsi="宋体"/>
      <w:kern w:val="0"/>
      <w:sz w:val="24"/>
    </w:rPr>
  </w:style>
  <w:style w:type="paragraph" w:styleId="14">
    <w:name w:val="Balloon Text"/>
    <w:basedOn w:val="1"/>
    <w:link w:val="39"/>
    <w:autoRedefine/>
    <w:qFormat/>
    <w:uiPriority w:val="0"/>
    <w:rPr>
      <w:sz w:val="18"/>
      <w:szCs w:val="18"/>
    </w:rPr>
  </w:style>
  <w:style w:type="paragraph" w:styleId="15">
    <w:name w:val="footer"/>
    <w:basedOn w:val="1"/>
    <w:link w:val="35"/>
    <w:qFormat/>
    <w:uiPriority w:val="0"/>
    <w:pPr>
      <w:tabs>
        <w:tab w:val="center" w:pos="4153"/>
        <w:tab w:val="right" w:pos="8306"/>
      </w:tabs>
      <w:snapToGrid w:val="0"/>
      <w:jc w:val="left"/>
    </w:pPr>
    <w:rPr>
      <w:sz w:val="18"/>
      <w:szCs w:val="18"/>
    </w:rPr>
  </w:style>
  <w:style w:type="paragraph" w:styleId="16">
    <w:name w:val="header"/>
    <w:basedOn w:val="1"/>
    <w:link w:val="48"/>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qFormat/>
    <w:uiPriority w:val="0"/>
    <w:pPr>
      <w:jc w:val="center"/>
    </w:pPr>
    <w:rPr>
      <w:rFonts w:eastAsia="华文中宋"/>
      <w:sz w:val="22"/>
    </w:rPr>
  </w:style>
  <w:style w:type="paragraph" w:styleId="18">
    <w:name w:val="Body Text Indent 3"/>
    <w:basedOn w:val="1"/>
    <w:autoRedefine/>
    <w:uiPriority w:val="0"/>
    <w:pPr>
      <w:spacing w:after="120"/>
      <w:ind w:left="420"/>
    </w:pPr>
    <w:rPr>
      <w:sz w:val="16"/>
      <w:szCs w:val="16"/>
    </w:rPr>
  </w:style>
  <w:style w:type="paragraph" w:styleId="19">
    <w:name w:val="Body Text 2"/>
    <w:basedOn w:val="1"/>
    <w:qFormat/>
    <w:uiPriority w:val="0"/>
    <w:pPr>
      <w:spacing w:after="120" w:line="480" w:lineRule="auto"/>
    </w:pPr>
  </w:style>
  <w:style w:type="paragraph" w:styleId="20">
    <w:name w:val="Normal (Web)"/>
    <w:basedOn w:val="1"/>
    <w:qFormat/>
    <w:uiPriority w:val="0"/>
    <w:pPr>
      <w:widowControl/>
      <w:spacing w:before="100" w:after="100"/>
      <w:jc w:val="left"/>
    </w:pPr>
    <w:rPr>
      <w:rFonts w:ascii="宋体" w:hAnsi="宋体"/>
      <w:kern w:val="0"/>
      <w:sz w:val="24"/>
      <w:szCs w:val="20"/>
    </w:rPr>
  </w:style>
  <w:style w:type="paragraph" w:styleId="21">
    <w:name w:val="Title"/>
    <w:basedOn w:val="1"/>
    <w:next w:val="1"/>
    <w:link w:val="32"/>
    <w:qFormat/>
    <w:uiPriority w:val="0"/>
    <w:pPr>
      <w:spacing w:before="240" w:after="60"/>
      <w:jc w:val="center"/>
      <w:outlineLvl w:val="0"/>
    </w:pPr>
    <w:rPr>
      <w:rFonts w:ascii="等线 Light" w:hAnsi="等线 Light" w:eastAsia="等线 Light"/>
      <w:b/>
      <w:bCs/>
      <w:sz w:val="32"/>
      <w:szCs w:val="32"/>
    </w:rPr>
  </w:style>
  <w:style w:type="paragraph" w:styleId="22">
    <w:name w:val="Body Text First Indent"/>
    <w:basedOn w:val="8"/>
    <w:autoRedefine/>
    <w:uiPriority w:val="0"/>
    <w:pPr>
      <w:autoSpaceDE/>
      <w:autoSpaceDN/>
      <w:adjustRightInd/>
      <w:spacing w:after="120" w:line="240" w:lineRule="auto"/>
      <w:ind w:firstLine="420"/>
      <w:jc w:val="both"/>
    </w:pPr>
    <w:rPr>
      <w:rFonts w:ascii="Times New Roman"/>
      <w:bCs/>
      <w:kern w:val="2"/>
      <w:sz w:val="24"/>
      <w:lang w:val="en-US"/>
    </w:rPr>
  </w:style>
  <w:style w:type="table" w:styleId="24">
    <w:name w:val="Table Grid"/>
    <w:basedOn w:val="2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5">
    <w:name w:val="Table Grid 5"/>
    <w:basedOn w:val="23"/>
    <w:autoRedefine/>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27">
    <w:name w:val="Strong"/>
    <w:autoRedefine/>
    <w:qFormat/>
    <w:uiPriority w:val="0"/>
    <w:rPr>
      <w:b/>
      <w:bCs/>
    </w:rPr>
  </w:style>
  <w:style w:type="character" w:styleId="28">
    <w:name w:val="page number"/>
    <w:basedOn w:val="26"/>
    <w:uiPriority w:val="0"/>
  </w:style>
  <w:style w:type="character" w:styleId="29">
    <w:name w:val="FollowedHyperlink"/>
    <w:autoRedefine/>
    <w:qFormat/>
    <w:uiPriority w:val="0"/>
    <w:rPr>
      <w:color w:val="800080"/>
      <w:u w:val="single"/>
    </w:rPr>
  </w:style>
  <w:style w:type="character" w:styleId="30">
    <w:name w:val="Emphasis"/>
    <w:qFormat/>
    <w:uiPriority w:val="0"/>
    <w:rPr>
      <w:color w:val="CC0033"/>
    </w:rPr>
  </w:style>
  <w:style w:type="character" w:styleId="31">
    <w:name w:val="Hyperlink"/>
    <w:autoRedefine/>
    <w:qFormat/>
    <w:uiPriority w:val="0"/>
    <w:rPr>
      <w:color w:val="0000FF"/>
      <w:u w:val="single"/>
    </w:rPr>
  </w:style>
  <w:style w:type="character" w:customStyle="1" w:styleId="32">
    <w:name w:val="标题 字符"/>
    <w:link w:val="21"/>
    <w:autoRedefine/>
    <w:qFormat/>
    <w:uiPriority w:val="0"/>
    <w:rPr>
      <w:rFonts w:ascii="等线 Light" w:hAnsi="等线 Light" w:eastAsia="等线 Light"/>
      <w:b/>
      <w:bCs/>
      <w:kern w:val="2"/>
      <w:sz w:val="32"/>
      <w:szCs w:val="32"/>
    </w:rPr>
  </w:style>
  <w:style w:type="character" w:customStyle="1" w:styleId="33">
    <w:name w:val="lianjie1"/>
    <w:uiPriority w:val="0"/>
    <w:rPr>
      <w:color w:val="FFFFFF"/>
      <w:sz w:val="18"/>
      <w:szCs w:val="18"/>
      <w:u w:val="none"/>
    </w:rPr>
  </w:style>
  <w:style w:type="character" w:customStyle="1" w:styleId="34">
    <w:name w:val="Char Char2"/>
    <w:autoRedefine/>
    <w:qFormat/>
    <w:uiPriority w:val="0"/>
    <w:rPr>
      <w:rFonts w:cs="Calibri"/>
      <w:sz w:val="18"/>
      <w:szCs w:val="18"/>
    </w:rPr>
  </w:style>
  <w:style w:type="character" w:customStyle="1" w:styleId="35">
    <w:name w:val="页脚 字符"/>
    <w:link w:val="15"/>
    <w:uiPriority w:val="0"/>
    <w:rPr>
      <w:kern w:val="2"/>
      <w:sz w:val="18"/>
      <w:szCs w:val="18"/>
    </w:rPr>
  </w:style>
  <w:style w:type="character" w:customStyle="1" w:styleId="36">
    <w:name w:val="131"/>
    <w:qFormat/>
    <w:uiPriority w:val="0"/>
    <w:rPr>
      <w:sz w:val="17"/>
      <w:szCs w:val="17"/>
    </w:rPr>
  </w:style>
  <w:style w:type="character" w:customStyle="1" w:styleId="37">
    <w:name w:val="unnamed11"/>
    <w:autoRedefine/>
    <w:qFormat/>
    <w:uiPriority w:val="0"/>
    <w:rPr>
      <w:rFonts w:hint="eastAsia" w:ascii="宋体" w:hAnsi="宋体" w:eastAsia="宋体"/>
      <w:sz w:val="21"/>
      <w:szCs w:val="21"/>
    </w:rPr>
  </w:style>
  <w:style w:type="character" w:customStyle="1" w:styleId="38">
    <w:name w:val="fonth"/>
    <w:basedOn w:val="26"/>
    <w:uiPriority w:val="0"/>
  </w:style>
  <w:style w:type="character" w:customStyle="1" w:styleId="39">
    <w:name w:val="批注框文本 字符"/>
    <w:link w:val="14"/>
    <w:autoRedefine/>
    <w:qFormat/>
    <w:uiPriority w:val="0"/>
    <w:rPr>
      <w:kern w:val="2"/>
      <w:sz w:val="18"/>
      <w:szCs w:val="18"/>
    </w:rPr>
  </w:style>
  <w:style w:type="character" w:customStyle="1" w:styleId="40">
    <w:name w:val="big1"/>
    <w:autoRedefine/>
    <w:qFormat/>
    <w:uiPriority w:val="0"/>
    <w:rPr>
      <w:color w:val="CC3333"/>
      <w:sz w:val="18"/>
      <w:szCs w:val="18"/>
    </w:rPr>
  </w:style>
  <w:style w:type="character" w:customStyle="1" w:styleId="41">
    <w:name w:val="contents"/>
    <w:basedOn w:val="26"/>
    <w:autoRedefine/>
    <w:qFormat/>
    <w:uiPriority w:val="0"/>
  </w:style>
  <w:style w:type="character" w:customStyle="1" w:styleId="42">
    <w:name w:val="正文文本 字符"/>
    <w:link w:val="8"/>
    <w:autoRedefine/>
    <w:qFormat/>
    <w:locked/>
    <w:uiPriority w:val="0"/>
    <w:rPr>
      <w:rFonts w:ascii="宋体" w:eastAsia="宋体"/>
      <w:sz w:val="28"/>
      <w:lang w:val="zh-CN" w:eastAsia="zh-CN" w:bidi="ar-SA"/>
    </w:rPr>
  </w:style>
  <w:style w:type="character" w:customStyle="1" w:styleId="43">
    <w:name w:val="style171"/>
    <w:autoRedefine/>
    <w:qFormat/>
    <w:uiPriority w:val="0"/>
    <w:rPr>
      <w:b/>
      <w:bCs/>
      <w:sz w:val="21"/>
      <w:szCs w:val="21"/>
    </w:rPr>
  </w:style>
  <w:style w:type="character" w:customStyle="1" w:styleId="44">
    <w:name w:val="Char Char"/>
    <w:autoRedefine/>
    <w:qFormat/>
    <w:uiPriority w:val="0"/>
    <w:rPr>
      <w:rFonts w:ascii="Times New Roman" w:hAnsi="Times New Roman" w:eastAsia="宋体" w:cs="Times New Roman"/>
      <w:szCs w:val="24"/>
    </w:rPr>
  </w:style>
  <w:style w:type="character" w:customStyle="1" w:styleId="45">
    <w:name w:val="纯文本 字符"/>
    <w:link w:val="11"/>
    <w:autoRedefine/>
    <w:qFormat/>
    <w:uiPriority w:val="0"/>
    <w:rPr>
      <w:rFonts w:ascii="宋体" w:hAnsi="Courier New" w:eastAsia="宋体"/>
      <w:kern w:val="2"/>
      <w:sz w:val="21"/>
      <w:lang w:val="en-US" w:eastAsia="zh-CN" w:bidi="ar-SA"/>
    </w:rPr>
  </w:style>
  <w:style w:type="character" w:customStyle="1" w:styleId="46">
    <w:name w:val="content1"/>
    <w:autoRedefine/>
    <w:qFormat/>
    <w:uiPriority w:val="0"/>
    <w:rPr>
      <w:rFonts w:hint="default" w:ascii="Tahoma" w:hAnsi="Tahoma" w:cs="Tahoma"/>
      <w:sz w:val="21"/>
      <w:szCs w:val="21"/>
    </w:rPr>
  </w:style>
  <w:style w:type="character" w:customStyle="1" w:styleId="47">
    <w:name w:val="style4"/>
    <w:basedOn w:val="26"/>
    <w:autoRedefine/>
    <w:qFormat/>
    <w:uiPriority w:val="0"/>
  </w:style>
  <w:style w:type="character" w:customStyle="1" w:styleId="48">
    <w:name w:val="页眉 字符"/>
    <w:link w:val="16"/>
    <w:locked/>
    <w:uiPriority w:val="0"/>
    <w:rPr>
      <w:rFonts w:eastAsia="宋体"/>
      <w:kern w:val="2"/>
      <w:sz w:val="18"/>
      <w:szCs w:val="18"/>
      <w:lang w:val="en-US" w:eastAsia="zh-CN" w:bidi="ar-SA"/>
    </w:rPr>
  </w:style>
  <w:style w:type="character" w:customStyle="1" w:styleId="49">
    <w:name w:val="grame"/>
    <w:basedOn w:val="26"/>
    <w:autoRedefine/>
    <w:qFormat/>
    <w:uiPriority w:val="0"/>
  </w:style>
  <w:style w:type="character" w:customStyle="1" w:styleId="50">
    <w:name w:val="正文文本缩进 字符"/>
    <w:link w:val="9"/>
    <w:locked/>
    <w:uiPriority w:val="0"/>
    <w:rPr>
      <w:rFonts w:eastAsia="宋体"/>
      <w:kern w:val="2"/>
      <w:sz w:val="21"/>
      <w:szCs w:val="24"/>
      <w:lang w:val="en-US" w:eastAsia="zh-CN" w:bidi="ar-SA"/>
    </w:rPr>
  </w:style>
  <w:style w:type="character" w:customStyle="1" w:styleId="51">
    <w:name w:val="Char Char1"/>
    <w:autoRedefine/>
    <w:qFormat/>
    <w:uiPriority w:val="0"/>
    <w:rPr>
      <w:kern w:val="2"/>
      <w:sz w:val="18"/>
      <w:szCs w:val="18"/>
    </w:rPr>
  </w:style>
  <w:style w:type="paragraph" w:customStyle="1" w:styleId="52">
    <w:name w:val="Char2"/>
    <w:basedOn w:val="1"/>
    <w:autoRedefine/>
    <w:uiPriority w:val="0"/>
    <w:pPr>
      <w:tabs>
        <w:tab w:val="left" w:pos="900"/>
      </w:tabs>
      <w:spacing w:before="312" w:after="312" w:line="360" w:lineRule="auto"/>
      <w:ind w:left="900" w:hanging="360"/>
    </w:pPr>
    <w:rPr>
      <w:sz w:val="24"/>
    </w:rPr>
  </w:style>
  <w:style w:type="paragraph" w:customStyle="1" w:styleId="53">
    <w:name w:val="xl32"/>
    <w:basedOn w:val="1"/>
    <w:autoRedefine/>
    <w:qFormat/>
    <w:uiPriority w:val="0"/>
    <w:pPr>
      <w:widowControl/>
      <w:spacing w:before="100" w:beforeAutospacing="1" w:after="100" w:afterAutospacing="1"/>
      <w:jc w:val="center"/>
    </w:pPr>
    <w:rPr>
      <w:rFonts w:hint="eastAsia" w:ascii="方正楷体简体" w:hAnsi="Arial Unicode MS" w:eastAsia="方正楷体简体"/>
      <w:kern w:val="0"/>
      <w:sz w:val="40"/>
      <w:szCs w:val="40"/>
    </w:rPr>
  </w:style>
  <w:style w:type="paragraph" w:customStyle="1" w:styleId="54">
    <w:name w:val="xl23"/>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hint="eastAsia" w:ascii="仿宋_GB2312" w:hAnsi="Arial Unicode MS" w:eastAsia="仿宋_GB2312" w:cs="Arial Unicode MS"/>
      <w:kern w:val="0"/>
      <w:sz w:val="20"/>
      <w:szCs w:val="20"/>
    </w:rPr>
  </w:style>
  <w:style w:type="paragraph" w:customStyle="1" w:styleId="55">
    <w:name w:val="p16"/>
    <w:basedOn w:val="1"/>
    <w:autoRedefine/>
    <w:qFormat/>
    <w:uiPriority w:val="0"/>
    <w:pPr>
      <w:widowControl/>
      <w:spacing w:line="520" w:lineRule="atLeast"/>
      <w:ind w:right="-28" w:firstLine="601"/>
    </w:pPr>
    <w:rPr>
      <w:kern w:val="0"/>
      <w:sz w:val="30"/>
      <w:szCs w:val="30"/>
    </w:rPr>
  </w:style>
  <w:style w:type="paragraph" w:customStyle="1" w:styleId="56">
    <w:name w:val="style3"/>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57">
    <w:name w:val="Char1 Char Char Char"/>
    <w:basedOn w:val="1"/>
    <w:qFormat/>
    <w:uiPriority w:val="0"/>
    <w:pPr>
      <w:tabs>
        <w:tab w:val="left" w:pos="900"/>
      </w:tabs>
      <w:spacing w:before="312" w:after="312" w:line="360" w:lineRule="auto"/>
      <w:ind w:left="900" w:hanging="360"/>
    </w:pPr>
    <w:rPr>
      <w:sz w:val="24"/>
    </w:rPr>
  </w:style>
  <w:style w:type="paragraph" w:customStyle="1" w:styleId="58">
    <w:name w:val="Heading #1|1"/>
    <w:basedOn w:val="1"/>
    <w:autoRedefine/>
    <w:qFormat/>
    <w:uiPriority w:val="0"/>
    <w:pPr>
      <w:spacing w:after="680"/>
      <w:jc w:val="center"/>
      <w:outlineLvl w:val="0"/>
    </w:pPr>
    <w:rPr>
      <w:rFonts w:ascii="宋体" w:hAnsi="宋体" w:cs="宋体"/>
      <w:sz w:val="36"/>
      <w:szCs w:val="36"/>
      <w:lang w:val="zh-TW" w:eastAsia="zh-TW" w:bidi="zh-TW"/>
    </w:rPr>
  </w:style>
  <w:style w:type="paragraph" w:customStyle="1" w:styleId="59">
    <w:name w:val="xl24"/>
    <w:basedOn w:val="1"/>
    <w:autoRedefine/>
    <w:qFormat/>
    <w:uiPriority w:val="0"/>
    <w:pPr>
      <w:widowControl/>
      <w:pBdr>
        <w:bottom w:val="single" w:color="auto" w:sz="4" w:space="0"/>
        <w:right w:val="single" w:color="auto" w:sz="4" w:space="0"/>
      </w:pBdr>
      <w:spacing w:before="100" w:beforeAutospacing="1" w:after="100" w:afterAutospacing="1"/>
      <w:jc w:val="center"/>
    </w:pPr>
    <w:rPr>
      <w:rFonts w:hint="eastAsia" w:ascii="Arial Unicode MS" w:hAnsi="Arial Unicode MS" w:eastAsia="Arial Unicode MS"/>
      <w:kern w:val="0"/>
      <w:szCs w:val="21"/>
    </w:rPr>
  </w:style>
  <w:style w:type="paragraph" w:customStyle="1" w:styleId="60">
    <w:name w:val="Char1 Char Char Char1"/>
    <w:basedOn w:val="1"/>
    <w:autoRedefine/>
    <w:qFormat/>
    <w:uiPriority w:val="0"/>
    <w:pPr>
      <w:tabs>
        <w:tab w:val="left" w:pos="900"/>
      </w:tabs>
      <w:spacing w:before="312" w:after="312" w:line="360" w:lineRule="auto"/>
      <w:ind w:left="900" w:hanging="360"/>
    </w:pPr>
    <w:rPr>
      <w:sz w:val="24"/>
    </w:rPr>
  </w:style>
  <w:style w:type="paragraph" w:customStyle="1" w:styleId="61">
    <w:name w:val="样式 宋体 小四 加粗 行距: 固定值 23 磅1"/>
    <w:basedOn w:val="1"/>
    <w:autoRedefine/>
    <w:qFormat/>
    <w:uiPriority w:val="0"/>
    <w:pPr>
      <w:spacing w:line="460" w:lineRule="exact"/>
      <w:ind w:firstLine="482" w:firstLineChars="200"/>
    </w:pPr>
    <w:rPr>
      <w:rFonts w:ascii="宋体" w:hAnsi="宋体" w:cs="宋体"/>
      <w:b/>
      <w:bCs/>
      <w:sz w:val="28"/>
      <w:szCs w:val="20"/>
    </w:rPr>
  </w:style>
  <w:style w:type="paragraph" w:customStyle="1" w:styleId="62">
    <w:name w:val="Default"/>
    <w:autoRedefine/>
    <w:qFormat/>
    <w:uiPriority w:val="0"/>
    <w:pPr>
      <w:widowControl w:val="0"/>
      <w:autoSpaceDE w:val="0"/>
      <w:autoSpaceDN w:val="0"/>
      <w:adjustRightInd w:val="0"/>
    </w:pPr>
    <w:rPr>
      <w:rFonts w:ascii="微软雅黑" w:hAnsi="Times New Roman" w:eastAsia="微软雅黑" w:cs="Times New Roman"/>
      <w:color w:val="000000"/>
      <w:sz w:val="24"/>
      <w:szCs w:val="24"/>
      <w:lang w:val="en-US" w:eastAsia="zh-CN" w:bidi="ar-SA"/>
    </w:rPr>
  </w:style>
  <w:style w:type="paragraph" w:customStyle="1" w:styleId="63">
    <w:name w:val="样式 黑体 小四 居中 行距: 固定值 21 磅"/>
    <w:basedOn w:val="1"/>
    <w:autoRedefine/>
    <w:qFormat/>
    <w:uiPriority w:val="0"/>
    <w:pPr>
      <w:spacing w:line="420" w:lineRule="exact"/>
      <w:jc w:val="center"/>
    </w:pPr>
    <w:rPr>
      <w:rFonts w:ascii="黑体" w:hAnsi="黑体" w:eastAsia="黑体" w:cs="宋体"/>
      <w:sz w:val="28"/>
      <w:szCs w:val="20"/>
    </w:rPr>
  </w:style>
  <w:style w:type="paragraph" w:styleId="64">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65">
    <w:name w:val="Other|1"/>
    <w:basedOn w:val="1"/>
    <w:autoRedefine/>
    <w:qFormat/>
    <w:uiPriority w:val="0"/>
    <w:pPr>
      <w:spacing w:after="600"/>
      <w:jc w:val="center"/>
    </w:pPr>
    <w:rPr>
      <w:rFonts w:ascii="宋体" w:hAnsi="宋体" w:cs="宋体"/>
      <w:sz w:val="80"/>
      <w:szCs w:val="80"/>
      <w:lang w:val="zh-TW" w:eastAsia="zh-TW" w:bidi="zh-TW"/>
    </w:rPr>
  </w:style>
  <w:style w:type="paragraph" w:customStyle="1" w:styleId="66">
    <w:name w:val="style6"/>
    <w:basedOn w:val="1"/>
    <w:autoRedefine/>
    <w:qFormat/>
    <w:uiPriority w:val="0"/>
    <w:pPr>
      <w:widowControl/>
      <w:spacing w:before="100" w:beforeAutospacing="1" w:after="100" w:afterAutospacing="1"/>
      <w:jc w:val="left"/>
    </w:pPr>
    <w:rPr>
      <w:rFonts w:hint="eastAsia" w:ascii="新宋体" w:hAnsi="新宋体" w:eastAsia="新宋体"/>
      <w:b/>
      <w:bCs/>
      <w:color w:val="CC3300"/>
      <w:kern w:val="0"/>
      <w:sz w:val="27"/>
      <w:szCs w:val="27"/>
    </w:rPr>
  </w:style>
  <w:style w:type="paragraph" w:customStyle="1" w:styleId="67">
    <w:name w:val="xl26"/>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32"/>
      <w:szCs w:val="32"/>
    </w:rPr>
  </w:style>
  <w:style w:type="paragraph" w:customStyle="1" w:styleId="68">
    <w:name w:val="样式 黑体 三号 加粗 居中 行距: 固定值 21 磅"/>
    <w:basedOn w:val="1"/>
    <w:autoRedefine/>
    <w:uiPriority w:val="0"/>
    <w:pPr>
      <w:spacing w:line="420" w:lineRule="exact"/>
      <w:jc w:val="center"/>
    </w:pPr>
    <w:rPr>
      <w:rFonts w:ascii="黑体" w:hAnsi="宋体" w:eastAsia="黑体" w:cs="宋体"/>
      <w:b/>
      <w:bCs/>
      <w:sz w:val="32"/>
      <w:szCs w:val="20"/>
    </w:rPr>
  </w:style>
  <w:style w:type="paragraph" w:customStyle="1" w:styleId="69">
    <w:name w:val="z12x"/>
    <w:basedOn w:val="1"/>
    <w:autoRedefine/>
    <w:qFormat/>
    <w:uiPriority w:val="0"/>
    <w:pPr>
      <w:widowControl/>
      <w:spacing w:before="100" w:beforeAutospacing="1" w:after="100" w:afterAutospacing="1" w:line="450" w:lineRule="atLeast"/>
      <w:jc w:val="left"/>
    </w:pPr>
    <w:rPr>
      <w:rFonts w:ascii="ˎ̥" w:hAnsi="ˎ̥" w:cs="宋体"/>
      <w:color w:val="333333"/>
      <w:spacing w:val="30"/>
      <w:kern w:val="0"/>
      <w:sz w:val="23"/>
      <w:szCs w:val="23"/>
    </w:rPr>
  </w:style>
  <w:style w:type="paragraph" w:styleId="70">
    <w:name w:val="List Paragraph"/>
    <w:basedOn w:val="1"/>
    <w:autoRedefine/>
    <w:qFormat/>
    <w:uiPriority w:val="0"/>
    <w:pPr>
      <w:ind w:firstLine="420" w:firstLineChars="200"/>
    </w:pPr>
    <w:rPr>
      <w:rFonts w:ascii="Calibri" w:hAnsi="Calibri"/>
      <w:szCs w:val="22"/>
    </w:rPr>
  </w:style>
  <w:style w:type="paragraph" w:customStyle="1" w:styleId="71">
    <w:name w:val="样式 标题 1 + 黑体 三号 段前: 0 磅 段后: 0 磅 行距: 固定值 24 磅"/>
    <w:basedOn w:val="2"/>
    <w:autoRedefine/>
    <w:qFormat/>
    <w:uiPriority w:val="0"/>
    <w:pPr>
      <w:spacing w:before="0" w:after="0" w:line="480" w:lineRule="exact"/>
      <w:ind w:firstLine="360" w:firstLineChars="112"/>
    </w:pPr>
    <w:rPr>
      <w:rFonts w:ascii="黑体" w:hAnsi="黑体" w:eastAsia="黑体" w:cs="宋体"/>
      <w:sz w:val="28"/>
      <w:szCs w:val="20"/>
    </w:rPr>
  </w:style>
  <w:style w:type="paragraph" w:customStyle="1" w:styleId="72">
    <w:name w:val="普通(Web)1"/>
    <w:basedOn w:val="1"/>
    <w:autoRedefine/>
    <w:qFormat/>
    <w:uiPriority w:val="0"/>
    <w:pPr>
      <w:widowControl/>
      <w:spacing w:before="100" w:beforeAutospacing="1" w:after="100" w:afterAutospacing="1" w:line="360" w:lineRule="atLeast"/>
      <w:jc w:val="left"/>
    </w:pPr>
    <w:rPr>
      <w:rFonts w:ascii="ˎ̥" w:hAnsi="ˎ̥"/>
      <w:color w:val="000000"/>
      <w:kern w:val="0"/>
      <w:sz w:val="18"/>
      <w:szCs w:val="18"/>
    </w:rPr>
  </w:style>
  <w:style w:type="paragraph" w:customStyle="1" w:styleId="73">
    <w:name w:val="Char"/>
    <w:basedOn w:val="1"/>
    <w:autoRedefine/>
    <w:qFormat/>
    <w:uiPriority w:val="0"/>
    <w:pPr>
      <w:tabs>
        <w:tab w:val="left" w:pos="900"/>
      </w:tabs>
      <w:spacing w:before="312" w:after="312" w:line="360" w:lineRule="auto"/>
      <w:ind w:left="900" w:hanging="360"/>
    </w:pPr>
    <w:rPr>
      <w:sz w:val="24"/>
    </w:rPr>
  </w:style>
  <w:style w:type="paragraph" w:customStyle="1" w:styleId="74">
    <w:name w:val="14"/>
    <w:basedOn w:val="1"/>
    <w:autoRedefine/>
    <w:qFormat/>
    <w:uiPriority w:val="0"/>
    <w:pPr>
      <w:widowControl/>
      <w:spacing w:before="100" w:beforeAutospacing="1" w:after="100" w:afterAutospacing="1" w:line="525" w:lineRule="atLeast"/>
      <w:jc w:val="left"/>
    </w:pPr>
    <w:rPr>
      <w:rFonts w:ascii="宋体" w:hAnsi="宋体" w:cs="宋体"/>
      <w:kern w:val="0"/>
      <w:szCs w:val="21"/>
    </w:rPr>
  </w:style>
  <w:style w:type="paragraph" w:customStyle="1" w:styleId="75">
    <w:name w:val="Char Char Char Char Char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76">
    <w:name w:val="p0"/>
    <w:basedOn w:val="1"/>
    <w:autoRedefine/>
    <w:qFormat/>
    <w:uiPriority w:val="0"/>
    <w:pPr>
      <w:widowControl/>
    </w:pPr>
    <w:rPr>
      <w:kern w:val="0"/>
      <w:szCs w:val="21"/>
    </w:rPr>
  </w:style>
  <w:style w:type="paragraph" w:customStyle="1" w:styleId="77">
    <w:name w:val="zi14"/>
    <w:basedOn w:val="1"/>
    <w:autoRedefine/>
    <w:qFormat/>
    <w:uiPriority w:val="0"/>
    <w:pPr>
      <w:widowControl/>
      <w:spacing w:before="100" w:beforeAutospacing="1" w:after="100" w:afterAutospacing="1" w:line="375" w:lineRule="atLeast"/>
      <w:jc w:val="left"/>
    </w:pPr>
    <w:rPr>
      <w:rFonts w:ascii="宋体" w:hAnsi="宋体" w:cs="宋体"/>
      <w:color w:val="000000"/>
      <w:kern w:val="0"/>
      <w:szCs w:val="21"/>
    </w:rPr>
  </w:style>
  <w:style w:type="paragraph" w:customStyle="1" w:styleId="78">
    <w:name w:val="简单回函地址"/>
    <w:basedOn w:val="1"/>
    <w:autoRedefine/>
    <w:qFormat/>
    <w:uiPriority w:val="0"/>
    <w:rPr>
      <w:szCs w:val="20"/>
    </w:rPr>
  </w:style>
  <w:style w:type="paragraph" w:customStyle="1" w:styleId="79">
    <w:name w:val="z12"/>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80">
    <w:name w:val="style1"/>
    <w:basedOn w:val="1"/>
    <w:autoRedefine/>
    <w:qFormat/>
    <w:uiPriority w:val="0"/>
    <w:pPr>
      <w:widowControl/>
      <w:spacing w:before="100" w:beforeAutospacing="1" w:after="100" w:afterAutospacing="1"/>
      <w:jc w:val="left"/>
    </w:pPr>
    <w:rPr>
      <w:rFonts w:ascii="仿宋_GB2312" w:hAnsi="宋体" w:eastAsia="仿宋_GB2312" w:cs="宋体"/>
      <w:kern w:val="0"/>
      <w:sz w:val="36"/>
      <w:szCs w:val="36"/>
    </w:rPr>
  </w:style>
  <w:style w:type="paragraph" w:customStyle="1" w:styleId="81">
    <w:name w:val="Char Char Char Char Char Char1 Char"/>
    <w:basedOn w:val="1"/>
    <w:autoRedefine/>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82">
    <w:name w:val="样式 宋体 小四 加粗 居中 行距: 固定值 21 磅"/>
    <w:basedOn w:val="1"/>
    <w:autoRedefine/>
    <w:qFormat/>
    <w:uiPriority w:val="0"/>
    <w:pPr>
      <w:spacing w:line="420" w:lineRule="exact"/>
      <w:jc w:val="center"/>
    </w:pPr>
    <w:rPr>
      <w:rFonts w:ascii="宋体" w:hAnsi="宋体" w:eastAsia="黑体" w:cs="宋体"/>
      <w:bCs/>
      <w:sz w:val="24"/>
      <w:szCs w:val="20"/>
    </w:rPr>
  </w:style>
  <w:style w:type="paragraph" w:customStyle="1" w:styleId="83">
    <w:name w:val="样式 宋体 四号 加粗 行距: 固定值 21 磅"/>
    <w:basedOn w:val="1"/>
    <w:autoRedefine/>
    <w:qFormat/>
    <w:uiPriority w:val="0"/>
    <w:pPr>
      <w:spacing w:line="420" w:lineRule="exact"/>
    </w:pPr>
    <w:rPr>
      <w:rFonts w:ascii="宋体" w:hAnsi="宋体" w:cs="宋体"/>
      <w:bCs/>
      <w:sz w:val="28"/>
      <w:szCs w:val="20"/>
    </w:rPr>
  </w:style>
  <w:style w:type="paragraph" w:customStyle="1" w:styleId="84">
    <w:name w:val="无间隔1"/>
    <w:autoRedefine/>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甘肃电大</Company>
  <Pages>14</Pages>
  <Words>1770</Words>
  <Characters>10090</Characters>
  <Lines>84</Lines>
  <Paragraphs>23</Paragraphs>
  <TotalTime>38</TotalTime>
  <ScaleCrop>false</ScaleCrop>
  <LinksUpToDate>false</LinksUpToDate>
  <CharactersWithSpaces>11837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2023-12-28T01:35:00Z</dcterms:created>
  <dc:creator>人事处－李丹</dc:creator>
  <cp:lastModifiedBy>Lenovo</cp:lastModifiedBy>
  <cp:lastPrinted>2024-01-09T08:02:00Z</cp:lastPrinted>
  <dcterms:modified xsi:type="dcterms:W3CDTF">2024-01-11T07:05:37Z</dcterms:modified>
  <dc:title>甘开大发〔2021〕2号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0BA07068B0844ADE976B6BAE28379222_13</vt:lpwstr>
  </property>
</Properties>
</file>